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2B" w:rsidRPr="00393BA9" w:rsidRDefault="004238D8" w:rsidP="00283DC6">
      <w:pPr>
        <w:spacing w:before="240" w:after="240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52955" cy="119062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F71" w:rsidRPr="00284F71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809625" cy="809625"/>
            <wp:effectExtent l="0" t="0" r="0" b="0"/>
            <wp:docPr id="13" name="Imagem 1" descr="Programa de Prevenção e Controlo de Infeção e Resistência aos Antimicrob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Prevenção e Controlo de Infeção e Resistência aos Antimicrobian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2B" w:rsidRPr="00393BA9" w:rsidRDefault="00F04E2B" w:rsidP="001B243C">
      <w:pPr>
        <w:spacing w:line="360" w:lineRule="auto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F04E2B" w:rsidRPr="00393BA9" w:rsidRDefault="00F04E2B" w:rsidP="001B243C">
      <w:pPr>
        <w:spacing w:line="360" w:lineRule="auto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F04E2B" w:rsidRPr="00393BA9" w:rsidRDefault="00F04E2B" w:rsidP="001B243C">
      <w:pPr>
        <w:spacing w:line="360" w:lineRule="auto"/>
        <w:jc w:val="center"/>
        <w:rPr>
          <w:rFonts w:ascii="Calibri" w:hAnsi="Calibri" w:cs="Arial"/>
          <w:b/>
          <w:bCs/>
          <w:sz w:val="40"/>
          <w:szCs w:val="40"/>
        </w:rPr>
      </w:pPr>
    </w:p>
    <w:p w:rsidR="00E91512" w:rsidRDefault="00E91512" w:rsidP="001B243C">
      <w:pPr>
        <w:spacing w:line="360" w:lineRule="auto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RELATÓRIO</w:t>
      </w:r>
    </w:p>
    <w:p w:rsidR="00F346F4" w:rsidRDefault="00F04E2B" w:rsidP="001B243C">
      <w:pPr>
        <w:spacing w:line="360" w:lineRule="auto"/>
        <w:jc w:val="center"/>
        <w:rPr>
          <w:rFonts w:ascii="Calibri" w:hAnsi="Calibri" w:cs="Arial"/>
          <w:b/>
          <w:bCs/>
          <w:sz w:val="32"/>
          <w:szCs w:val="32"/>
        </w:rPr>
      </w:pPr>
      <w:r w:rsidRPr="00393BA9">
        <w:rPr>
          <w:rFonts w:ascii="Calibri" w:hAnsi="Calibri" w:cs="Arial"/>
          <w:b/>
          <w:bCs/>
          <w:sz w:val="32"/>
          <w:szCs w:val="32"/>
        </w:rPr>
        <w:t xml:space="preserve">VIGILÂNCIA EPIDEMIOLÓGICA DAS INFEÇÕES NOSOCOMIAIS </w:t>
      </w:r>
    </w:p>
    <w:p w:rsidR="00E91512" w:rsidRDefault="00F04E2B" w:rsidP="001B243C">
      <w:pPr>
        <w:spacing w:line="360" w:lineRule="auto"/>
        <w:jc w:val="center"/>
        <w:rPr>
          <w:rFonts w:ascii="Calibri" w:hAnsi="Calibri" w:cs="Arial"/>
          <w:b/>
          <w:bCs/>
          <w:sz w:val="32"/>
          <w:szCs w:val="32"/>
        </w:rPr>
      </w:pPr>
      <w:r w:rsidRPr="00393BA9">
        <w:rPr>
          <w:rFonts w:ascii="Calibri" w:hAnsi="Calibri" w:cs="Arial"/>
          <w:b/>
          <w:bCs/>
          <w:sz w:val="32"/>
          <w:szCs w:val="32"/>
        </w:rPr>
        <w:t>DA CORRENTE SANGUÍNEA</w:t>
      </w:r>
      <w:r w:rsidR="00E91512">
        <w:rPr>
          <w:rFonts w:ascii="Calibri" w:hAnsi="Calibri" w:cs="Arial"/>
          <w:b/>
          <w:bCs/>
          <w:sz w:val="32"/>
          <w:szCs w:val="32"/>
        </w:rPr>
        <w:t xml:space="preserve"> </w:t>
      </w:r>
    </w:p>
    <w:p w:rsidR="00F04E2B" w:rsidRPr="00A066E4" w:rsidRDefault="007776E3" w:rsidP="001B243C">
      <w:pPr>
        <w:spacing w:line="360" w:lineRule="auto"/>
        <w:jc w:val="center"/>
        <w:rPr>
          <w:rFonts w:ascii="Calibri" w:hAnsi="Calibri" w:cs="Arial"/>
          <w:b/>
          <w:bCs/>
          <w:i/>
          <w:sz w:val="40"/>
          <w:szCs w:val="40"/>
        </w:rPr>
      </w:pPr>
      <w:r w:rsidRPr="00A066E4">
        <w:rPr>
          <w:rFonts w:ascii="Calibri" w:hAnsi="Calibri" w:cs="Arial"/>
          <w:b/>
          <w:bCs/>
          <w:i/>
          <w:sz w:val="40"/>
          <w:szCs w:val="40"/>
        </w:rPr>
        <w:t>2011</w:t>
      </w:r>
      <w:r w:rsidR="00BE6FDE" w:rsidRPr="00A066E4">
        <w:rPr>
          <w:rFonts w:ascii="Calibri" w:hAnsi="Calibri" w:cs="Arial"/>
          <w:b/>
          <w:bCs/>
          <w:i/>
          <w:sz w:val="40"/>
          <w:szCs w:val="40"/>
        </w:rPr>
        <w:t xml:space="preserve"> </w:t>
      </w:r>
    </w:p>
    <w:p w:rsidR="00F04E2B" w:rsidRPr="00393BA9" w:rsidRDefault="00F04E2B" w:rsidP="001B243C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:rsidR="00F04E2B" w:rsidRPr="00393BA9" w:rsidRDefault="00F04E2B" w:rsidP="001B243C">
      <w:pPr>
        <w:spacing w:line="360" w:lineRule="auto"/>
        <w:jc w:val="center"/>
        <w:rPr>
          <w:rFonts w:ascii="Calibri" w:hAnsi="Calibri"/>
          <w:b/>
          <w:bCs/>
          <w:color w:val="1F497D"/>
          <w:sz w:val="40"/>
          <w:szCs w:val="40"/>
        </w:rPr>
      </w:pPr>
    </w:p>
    <w:p w:rsidR="00F04E2B" w:rsidRPr="006C66F0" w:rsidRDefault="00F04E2B" w:rsidP="001B243C">
      <w:pPr>
        <w:spacing w:line="360" w:lineRule="auto"/>
        <w:jc w:val="center"/>
        <w:rPr>
          <w:rFonts w:ascii="Calibri" w:hAnsi="Calibri"/>
          <w:b/>
          <w:bCs/>
          <w:color w:val="4F81BD"/>
        </w:rPr>
      </w:pPr>
      <w:r w:rsidRPr="006C66F0">
        <w:rPr>
          <w:rFonts w:ascii="Calibri" w:hAnsi="Calibri" w:cs="Arial"/>
          <w:b/>
          <w:bCs/>
        </w:rPr>
        <w:t xml:space="preserve">Programa Nacional de </w:t>
      </w:r>
      <w:r w:rsidR="00D82C39" w:rsidRPr="006C66F0">
        <w:rPr>
          <w:rFonts w:ascii="Calibri" w:hAnsi="Calibri" w:cs="Arial"/>
          <w:b/>
          <w:bCs/>
        </w:rPr>
        <w:t>Prevenção e Controlo da</w:t>
      </w:r>
      <w:r w:rsidR="00633B7C">
        <w:rPr>
          <w:rFonts w:ascii="Calibri" w:hAnsi="Calibri" w:cs="Arial"/>
          <w:b/>
          <w:bCs/>
        </w:rPr>
        <w:t>s</w:t>
      </w:r>
      <w:r w:rsidRPr="006C66F0">
        <w:rPr>
          <w:rFonts w:ascii="Calibri" w:hAnsi="Calibri" w:cs="Arial"/>
          <w:b/>
          <w:bCs/>
        </w:rPr>
        <w:t xml:space="preserve"> Infeç</w:t>
      </w:r>
      <w:r w:rsidR="00633B7C">
        <w:rPr>
          <w:rFonts w:ascii="Calibri" w:hAnsi="Calibri" w:cs="Arial"/>
          <w:b/>
          <w:bCs/>
        </w:rPr>
        <w:t>ões e das Resistências aos Antimicrobianos</w:t>
      </w:r>
    </w:p>
    <w:p w:rsidR="00F04E2B" w:rsidRPr="00393BA9" w:rsidRDefault="00F04E2B" w:rsidP="00393BA9">
      <w:pPr>
        <w:spacing w:line="360" w:lineRule="auto"/>
        <w:rPr>
          <w:rFonts w:ascii="Calibri" w:hAnsi="Calibri" w:cs="Arial"/>
          <w:sz w:val="16"/>
          <w:szCs w:val="16"/>
        </w:rPr>
      </w:pPr>
    </w:p>
    <w:p w:rsidR="00F04E2B" w:rsidRPr="00393BA9" w:rsidRDefault="00F04E2B" w:rsidP="001B243C">
      <w:pPr>
        <w:spacing w:line="360" w:lineRule="auto"/>
        <w:jc w:val="right"/>
        <w:rPr>
          <w:rFonts w:ascii="Calibri" w:hAnsi="Calibri" w:cs="Arial"/>
          <w:sz w:val="16"/>
          <w:szCs w:val="16"/>
        </w:rPr>
      </w:pPr>
    </w:p>
    <w:p w:rsidR="00F04E2B" w:rsidRPr="00633B7C" w:rsidRDefault="00633B7C" w:rsidP="00633B7C">
      <w:pPr>
        <w:spacing w:line="360" w:lineRule="auto"/>
        <w:jc w:val="center"/>
        <w:rPr>
          <w:rFonts w:ascii="Calibri" w:hAnsi="Calibri" w:cs="Arial"/>
          <w:b/>
          <w:bCs/>
        </w:rPr>
      </w:pPr>
      <w:r w:rsidRPr="00633B7C">
        <w:rPr>
          <w:rFonts w:ascii="Calibri" w:hAnsi="Calibri" w:cs="Arial"/>
          <w:b/>
          <w:bCs/>
        </w:rPr>
        <w:t>Departamento da Qualidade na Saúde</w:t>
      </w:r>
    </w:p>
    <w:p w:rsidR="00F04E2B" w:rsidRPr="00393BA9" w:rsidRDefault="00F04E2B" w:rsidP="00393BA9">
      <w:pPr>
        <w:spacing w:line="360" w:lineRule="auto"/>
        <w:rPr>
          <w:rFonts w:ascii="Calibri" w:hAnsi="Calibri" w:cs="Arial"/>
          <w:sz w:val="16"/>
          <w:szCs w:val="16"/>
        </w:rPr>
      </w:pPr>
    </w:p>
    <w:p w:rsidR="00F04E2B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  <w:r w:rsidRPr="00393BA9">
        <w:rPr>
          <w:rFonts w:ascii="Calibri" w:hAnsi="Calibri"/>
          <w:b/>
          <w:sz w:val="32"/>
          <w:szCs w:val="32"/>
        </w:rPr>
        <w:tab/>
      </w:r>
    </w:p>
    <w:p w:rsidR="00633B7C" w:rsidRPr="00393BA9" w:rsidRDefault="00633B7C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  <w:bookmarkStart w:id="0" w:name="_Toc345624855"/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93BA9">
      <w:pPr>
        <w:rPr>
          <w:rFonts w:ascii="Calibri" w:hAnsi="Calibri"/>
          <w:lang w:eastAsia="en-US"/>
        </w:rPr>
      </w:pPr>
    </w:p>
    <w:p w:rsidR="00F04E2B" w:rsidRPr="00393BA9" w:rsidRDefault="00F04E2B" w:rsidP="00370F56">
      <w:pPr>
        <w:spacing w:before="2400" w:after="120"/>
        <w:jc w:val="both"/>
        <w:rPr>
          <w:rFonts w:ascii="Calibri" w:hAnsi="Calibri" w:cs="Arial"/>
          <w:b/>
          <w:sz w:val="22"/>
          <w:szCs w:val="22"/>
        </w:rPr>
      </w:pPr>
      <w:r w:rsidRPr="00393BA9">
        <w:rPr>
          <w:rFonts w:ascii="Calibri" w:hAnsi="Calibri" w:cs="Arial"/>
          <w:b/>
          <w:sz w:val="22"/>
          <w:szCs w:val="22"/>
        </w:rPr>
        <w:t>AUTORES:</w:t>
      </w:r>
    </w:p>
    <w:p w:rsidR="00370F56" w:rsidRDefault="00F04E2B" w:rsidP="00370F56">
      <w:pPr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393BA9">
        <w:rPr>
          <w:rFonts w:ascii="Calibri" w:hAnsi="Calibri" w:cs="Arial"/>
          <w:b/>
          <w:sz w:val="22"/>
          <w:szCs w:val="22"/>
        </w:rPr>
        <w:t xml:space="preserve">Elaine Pina </w:t>
      </w:r>
      <w:r w:rsidRPr="0064085D">
        <w:rPr>
          <w:rFonts w:ascii="Calibri" w:hAnsi="Calibri" w:cs="Arial"/>
          <w:sz w:val="22"/>
          <w:szCs w:val="22"/>
        </w:rPr>
        <w:t>–</w:t>
      </w:r>
      <w:r w:rsidRPr="00393BA9">
        <w:rPr>
          <w:rFonts w:ascii="Calibri" w:hAnsi="Calibri" w:cs="Arial"/>
          <w:b/>
          <w:sz w:val="22"/>
          <w:szCs w:val="22"/>
        </w:rPr>
        <w:t xml:space="preserve"> </w:t>
      </w:r>
      <w:r w:rsidRPr="0064085D">
        <w:rPr>
          <w:rFonts w:ascii="Calibri" w:hAnsi="Calibri" w:cs="Arial"/>
          <w:sz w:val="22"/>
          <w:szCs w:val="22"/>
        </w:rPr>
        <w:t>Coordenadora do Programa Nacional de Prevenção e Co</w:t>
      </w:r>
      <w:r w:rsidR="0064085D">
        <w:rPr>
          <w:rFonts w:ascii="Calibri" w:hAnsi="Calibri" w:cs="Arial"/>
          <w:sz w:val="22"/>
          <w:szCs w:val="22"/>
        </w:rPr>
        <w:t xml:space="preserve">ntrolo da Infeção Associada aos </w:t>
      </w:r>
    </w:p>
    <w:p w:rsidR="00F04E2B" w:rsidRPr="00393BA9" w:rsidRDefault="00F04E2B" w:rsidP="00370F56">
      <w:pPr>
        <w:ind w:left="1418" w:hanging="1418"/>
        <w:jc w:val="both"/>
        <w:rPr>
          <w:rFonts w:ascii="Calibri" w:hAnsi="Calibri" w:cs="Arial"/>
          <w:b/>
          <w:sz w:val="22"/>
          <w:szCs w:val="22"/>
        </w:rPr>
      </w:pPr>
      <w:r w:rsidRPr="0064085D">
        <w:rPr>
          <w:rFonts w:ascii="Calibri" w:hAnsi="Calibri" w:cs="Arial"/>
          <w:sz w:val="22"/>
          <w:szCs w:val="22"/>
        </w:rPr>
        <w:t>Cuidados de Saúde</w:t>
      </w:r>
      <w:r w:rsidR="004223B4">
        <w:rPr>
          <w:rFonts w:ascii="Calibri" w:hAnsi="Calibri" w:cs="Arial"/>
          <w:sz w:val="22"/>
          <w:szCs w:val="22"/>
        </w:rPr>
        <w:t xml:space="preserve"> (PNCI)</w:t>
      </w:r>
    </w:p>
    <w:p w:rsidR="00F04E2B" w:rsidRPr="0064085D" w:rsidRDefault="00F04E2B" w:rsidP="00370F56">
      <w:pPr>
        <w:spacing w:before="120"/>
        <w:ind w:left="1843" w:hanging="1843"/>
        <w:jc w:val="both"/>
        <w:rPr>
          <w:rFonts w:ascii="Calibri" w:hAnsi="Calibri" w:cs="Arial"/>
          <w:sz w:val="22"/>
          <w:szCs w:val="22"/>
        </w:rPr>
      </w:pPr>
      <w:r w:rsidRPr="00393BA9">
        <w:rPr>
          <w:rFonts w:ascii="Calibri" w:hAnsi="Calibri" w:cs="Arial"/>
          <w:b/>
          <w:sz w:val="22"/>
          <w:szCs w:val="22"/>
        </w:rPr>
        <w:t xml:space="preserve">Maria Goreti Silva </w:t>
      </w:r>
      <w:r w:rsidRPr="0064085D">
        <w:rPr>
          <w:rFonts w:ascii="Calibri" w:hAnsi="Calibri" w:cs="Arial"/>
          <w:sz w:val="22"/>
          <w:szCs w:val="22"/>
        </w:rPr>
        <w:t xml:space="preserve">– </w:t>
      </w:r>
      <w:r w:rsidR="004223B4">
        <w:rPr>
          <w:rFonts w:ascii="Calibri" w:hAnsi="Calibri" w:cs="Arial"/>
          <w:sz w:val="22"/>
          <w:szCs w:val="22"/>
        </w:rPr>
        <w:t xml:space="preserve">Enf.ª do </w:t>
      </w:r>
      <w:r w:rsidRPr="0064085D">
        <w:rPr>
          <w:rFonts w:ascii="Calibri" w:hAnsi="Calibri" w:cs="Arial"/>
          <w:sz w:val="22"/>
          <w:szCs w:val="22"/>
        </w:rPr>
        <w:t>Grupo Coordenador do PNCI</w:t>
      </w:r>
    </w:p>
    <w:p w:rsidR="00F04E2B" w:rsidRPr="00393BA9" w:rsidRDefault="00F04E2B" w:rsidP="00370F56">
      <w:pPr>
        <w:spacing w:before="720" w:after="120"/>
        <w:jc w:val="both"/>
        <w:rPr>
          <w:rFonts w:ascii="Calibri" w:hAnsi="Calibri" w:cs="Arial"/>
          <w:b/>
          <w:sz w:val="22"/>
          <w:szCs w:val="22"/>
        </w:rPr>
      </w:pPr>
      <w:r w:rsidRPr="00393BA9">
        <w:rPr>
          <w:rFonts w:ascii="Calibri" w:hAnsi="Calibri" w:cs="Arial"/>
          <w:b/>
          <w:sz w:val="22"/>
          <w:szCs w:val="22"/>
        </w:rPr>
        <w:t>AGRADECIMENTOS:</w:t>
      </w:r>
    </w:p>
    <w:p w:rsidR="005C24A7" w:rsidRDefault="007776E3" w:rsidP="005C24A7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223B4">
        <w:rPr>
          <w:rFonts w:ascii="Calibri" w:hAnsi="Calibri" w:cs="Arial"/>
          <w:sz w:val="22"/>
          <w:szCs w:val="22"/>
        </w:rPr>
        <w:t>Professor Dr.</w:t>
      </w:r>
      <w:r w:rsidRPr="00A066E4">
        <w:rPr>
          <w:rFonts w:ascii="Calibri" w:hAnsi="Calibri" w:cs="Arial"/>
          <w:b/>
          <w:sz w:val="22"/>
          <w:szCs w:val="22"/>
        </w:rPr>
        <w:t xml:space="preserve"> </w:t>
      </w:r>
      <w:r w:rsidR="005C24A7" w:rsidRPr="00A066E4">
        <w:rPr>
          <w:rFonts w:ascii="Calibri" w:hAnsi="Calibri" w:cs="Arial"/>
          <w:b/>
          <w:sz w:val="22"/>
          <w:szCs w:val="22"/>
        </w:rPr>
        <w:t>José Artur Paiva</w:t>
      </w:r>
      <w:r w:rsidR="005C24A7" w:rsidRPr="00393BA9">
        <w:rPr>
          <w:rFonts w:ascii="Calibri" w:hAnsi="Calibri" w:cs="Arial"/>
          <w:b/>
          <w:sz w:val="22"/>
          <w:szCs w:val="22"/>
        </w:rPr>
        <w:t xml:space="preserve"> </w:t>
      </w:r>
      <w:r w:rsidR="005C24A7" w:rsidRPr="0064085D">
        <w:rPr>
          <w:rFonts w:ascii="Calibri" w:hAnsi="Calibri" w:cs="Arial"/>
          <w:sz w:val="22"/>
          <w:szCs w:val="22"/>
        </w:rPr>
        <w:t xml:space="preserve">– </w:t>
      </w:r>
      <w:r>
        <w:rPr>
          <w:rFonts w:ascii="Calibri" w:hAnsi="Calibri" w:cs="Arial"/>
          <w:sz w:val="22"/>
          <w:szCs w:val="22"/>
        </w:rPr>
        <w:t>Diretor</w:t>
      </w:r>
      <w:r w:rsidR="005C24A7" w:rsidRPr="0064085D">
        <w:rPr>
          <w:rFonts w:ascii="Calibri" w:hAnsi="Calibri" w:cs="Arial"/>
          <w:sz w:val="22"/>
          <w:szCs w:val="22"/>
        </w:rPr>
        <w:t xml:space="preserve"> do Programa Nacional de</w:t>
      </w:r>
      <w:r w:rsidR="005C24A7">
        <w:rPr>
          <w:rFonts w:ascii="Calibri" w:hAnsi="Calibri" w:cs="Arial"/>
          <w:sz w:val="22"/>
          <w:szCs w:val="22"/>
        </w:rPr>
        <w:t xml:space="preserve"> Prevenção </w:t>
      </w:r>
      <w:r>
        <w:rPr>
          <w:rFonts w:ascii="Calibri" w:hAnsi="Calibri" w:cs="Arial"/>
          <w:sz w:val="22"/>
          <w:szCs w:val="22"/>
        </w:rPr>
        <w:t xml:space="preserve">e Controlo </w:t>
      </w:r>
      <w:r w:rsidR="005C24A7">
        <w:rPr>
          <w:rFonts w:ascii="Calibri" w:hAnsi="Calibri" w:cs="Arial"/>
          <w:sz w:val="22"/>
          <w:szCs w:val="22"/>
        </w:rPr>
        <w:t xml:space="preserve">das </w:t>
      </w:r>
      <w:r>
        <w:rPr>
          <w:rFonts w:ascii="Calibri" w:hAnsi="Calibri" w:cs="Arial"/>
          <w:sz w:val="22"/>
          <w:szCs w:val="22"/>
        </w:rPr>
        <w:t xml:space="preserve">Infeções e das </w:t>
      </w:r>
      <w:r w:rsidR="005C24A7">
        <w:rPr>
          <w:rFonts w:ascii="Calibri" w:hAnsi="Calibri" w:cs="Arial"/>
          <w:sz w:val="22"/>
          <w:szCs w:val="22"/>
        </w:rPr>
        <w:t xml:space="preserve">Resistências aos </w:t>
      </w:r>
      <w:r w:rsidR="005C24A7" w:rsidRPr="0064085D">
        <w:rPr>
          <w:rFonts w:ascii="Calibri" w:hAnsi="Calibri" w:cs="Arial"/>
          <w:sz w:val="22"/>
          <w:szCs w:val="22"/>
        </w:rPr>
        <w:t>Antimicrobianos</w:t>
      </w:r>
    </w:p>
    <w:p w:rsidR="007776E3" w:rsidRDefault="007776E3" w:rsidP="005C24A7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223B4">
        <w:rPr>
          <w:rFonts w:ascii="Calibri" w:hAnsi="Calibri" w:cs="Arial"/>
          <w:sz w:val="22"/>
          <w:szCs w:val="22"/>
        </w:rPr>
        <w:t>Dr.</w:t>
      </w:r>
      <w:r w:rsidRPr="00A066E4">
        <w:rPr>
          <w:rFonts w:ascii="Calibri" w:hAnsi="Calibri" w:cs="Arial"/>
          <w:b/>
          <w:sz w:val="22"/>
          <w:szCs w:val="22"/>
        </w:rPr>
        <w:t xml:space="preserve"> Luis Marques Lito</w:t>
      </w:r>
      <w:r>
        <w:rPr>
          <w:rFonts w:ascii="Calibri" w:hAnsi="Calibri" w:cs="Arial"/>
          <w:sz w:val="22"/>
          <w:szCs w:val="22"/>
        </w:rPr>
        <w:t xml:space="preserve">, Microbiologista - Centro Hospitalar </w:t>
      </w:r>
      <w:r w:rsidR="00A066E4">
        <w:rPr>
          <w:rFonts w:ascii="Calibri" w:hAnsi="Calibri" w:cs="Arial"/>
          <w:sz w:val="22"/>
          <w:szCs w:val="22"/>
        </w:rPr>
        <w:t>Lisboa</w:t>
      </w:r>
      <w:r>
        <w:rPr>
          <w:rFonts w:ascii="Calibri" w:hAnsi="Calibri" w:cs="Arial"/>
          <w:sz w:val="22"/>
          <w:szCs w:val="22"/>
        </w:rPr>
        <w:t xml:space="preserve"> Norte</w:t>
      </w:r>
    </w:p>
    <w:p w:rsidR="000901D4" w:rsidRDefault="000901D4" w:rsidP="005C24A7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223B4">
        <w:rPr>
          <w:rFonts w:ascii="Calibri" w:hAnsi="Calibri" w:cs="Arial"/>
          <w:sz w:val="22"/>
          <w:szCs w:val="22"/>
        </w:rPr>
        <w:t>Dr.ª</w:t>
      </w:r>
      <w:r w:rsidRPr="000901D4">
        <w:rPr>
          <w:rFonts w:ascii="Calibri" w:hAnsi="Calibri" w:cs="Arial"/>
          <w:b/>
          <w:sz w:val="22"/>
          <w:szCs w:val="22"/>
        </w:rPr>
        <w:t xml:space="preserve"> Filomena Martins,</w:t>
      </w:r>
      <w:r>
        <w:rPr>
          <w:rFonts w:ascii="Calibri" w:hAnsi="Calibri" w:cs="Arial"/>
          <w:sz w:val="22"/>
          <w:szCs w:val="22"/>
        </w:rPr>
        <w:t xml:space="preserve"> Microbiologista - Centro Hospitalar Lisboa Ocidental</w:t>
      </w:r>
    </w:p>
    <w:p w:rsidR="000901D4" w:rsidRDefault="000901D4" w:rsidP="000901D4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223B4">
        <w:rPr>
          <w:rFonts w:ascii="Calibri" w:hAnsi="Calibri" w:cs="Arial"/>
          <w:sz w:val="22"/>
          <w:szCs w:val="22"/>
        </w:rPr>
        <w:t>Enf.ª</w:t>
      </w:r>
      <w:r w:rsidRPr="000901D4">
        <w:rPr>
          <w:rFonts w:ascii="Calibri" w:hAnsi="Calibri" w:cs="Arial"/>
          <w:b/>
          <w:sz w:val="22"/>
          <w:szCs w:val="22"/>
        </w:rPr>
        <w:t xml:space="preserve"> Clara Carvalho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901D4">
        <w:rPr>
          <w:rFonts w:ascii="Calibri" w:hAnsi="Calibri" w:cs="Arial"/>
          <w:sz w:val="22"/>
          <w:szCs w:val="22"/>
        </w:rPr>
        <w:t>- CCI do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Centro Hospitalar Lisboa Ocidental</w:t>
      </w:r>
    </w:p>
    <w:p w:rsidR="00586261" w:rsidRDefault="007776E3" w:rsidP="00BE2B0B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À</w:t>
      </w:r>
      <w:r w:rsidR="00586261" w:rsidRPr="007776E3">
        <w:rPr>
          <w:rFonts w:ascii="Calibri" w:hAnsi="Calibri" w:cs="Arial"/>
          <w:sz w:val="22"/>
          <w:szCs w:val="22"/>
        </w:rPr>
        <w:t xml:space="preserve">s </w:t>
      </w:r>
      <w:r w:rsidR="00A066E4">
        <w:rPr>
          <w:rFonts w:ascii="Calibri" w:hAnsi="Calibri" w:cs="Arial"/>
          <w:b/>
          <w:sz w:val="22"/>
          <w:szCs w:val="22"/>
        </w:rPr>
        <w:t>e</w:t>
      </w:r>
      <w:r w:rsidR="00586261" w:rsidRPr="00A066E4">
        <w:rPr>
          <w:rFonts w:ascii="Calibri" w:hAnsi="Calibri" w:cs="Arial"/>
          <w:b/>
          <w:sz w:val="22"/>
          <w:szCs w:val="22"/>
        </w:rPr>
        <w:t>quipas de Controlo de Infeção</w:t>
      </w:r>
      <w:r w:rsidR="00586261">
        <w:rPr>
          <w:rFonts w:ascii="Calibri" w:hAnsi="Calibri" w:cs="Arial"/>
          <w:sz w:val="22"/>
          <w:szCs w:val="22"/>
        </w:rPr>
        <w:t xml:space="preserve"> de todos os hospitais participantes</w:t>
      </w:r>
    </w:p>
    <w:p w:rsidR="0035019B" w:rsidRDefault="0035019B" w:rsidP="00D84344">
      <w:pPr>
        <w:pStyle w:val="Ttulo1"/>
        <w:rPr>
          <w:rFonts w:ascii="Calibri" w:hAnsi="Calibri"/>
          <w:b/>
          <w:color w:val="548DD4"/>
        </w:rPr>
      </w:pPr>
    </w:p>
    <w:p w:rsidR="0035019B" w:rsidRDefault="0035019B" w:rsidP="0035019B">
      <w:pPr>
        <w:rPr>
          <w:lang w:eastAsia="en-US"/>
        </w:rPr>
      </w:pPr>
    </w:p>
    <w:p w:rsidR="0035019B" w:rsidRPr="0035019B" w:rsidRDefault="0035019B" w:rsidP="0035019B">
      <w:pPr>
        <w:rPr>
          <w:lang w:eastAsia="en-US"/>
        </w:rPr>
      </w:pPr>
    </w:p>
    <w:p w:rsidR="0035019B" w:rsidRDefault="0035019B" w:rsidP="00D84344">
      <w:pPr>
        <w:pStyle w:val="Ttulo1"/>
        <w:rPr>
          <w:rFonts w:ascii="Calibri" w:hAnsi="Calibri"/>
          <w:b/>
          <w:color w:val="548DD4"/>
        </w:rPr>
      </w:pPr>
    </w:p>
    <w:p w:rsidR="00DC5F44" w:rsidRDefault="00DC5F44" w:rsidP="00DC5F44">
      <w:pPr>
        <w:rPr>
          <w:lang w:eastAsia="en-US"/>
        </w:rPr>
      </w:pPr>
    </w:p>
    <w:p w:rsidR="00DC5F44" w:rsidRPr="00DC5F44" w:rsidRDefault="00DC5F44" w:rsidP="00DC5F44">
      <w:pPr>
        <w:rPr>
          <w:lang w:eastAsia="en-US"/>
        </w:rPr>
      </w:pPr>
    </w:p>
    <w:p w:rsidR="0035019B" w:rsidRDefault="0035019B" w:rsidP="00D84344">
      <w:pPr>
        <w:pStyle w:val="Ttulo1"/>
        <w:rPr>
          <w:rFonts w:ascii="Calibri" w:hAnsi="Calibri"/>
          <w:b/>
          <w:color w:val="548DD4"/>
        </w:rPr>
      </w:pPr>
    </w:p>
    <w:p w:rsidR="007776E3" w:rsidRDefault="007776E3" w:rsidP="007776E3">
      <w:pPr>
        <w:rPr>
          <w:lang w:eastAsia="en-US"/>
        </w:rPr>
      </w:pPr>
    </w:p>
    <w:p w:rsidR="007776E3" w:rsidRDefault="007776E3" w:rsidP="007776E3">
      <w:pPr>
        <w:rPr>
          <w:lang w:eastAsia="en-US"/>
        </w:rPr>
      </w:pPr>
    </w:p>
    <w:p w:rsidR="007776E3" w:rsidRDefault="007776E3" w:rsidP="007776E3">
      <w:pPr>
        <w:rPr>
          <w:lang w:eastAsia="en-US"/>
        </w:rPr>
      </w:pPr>
    </w:p>
    <w:p w:rsidR="007776E3" w:rsidRPr="007776E3" w:rsidRDefault="007776E3" w:rsidP="007776E3">
      <w:pPr>
        <w:rPr>
          <w:lang w:eastAsia="en-US"/>
        </w:rPr>
      </w:pPr>
    </w:p>
    <w:p w:rsidR="0035019B" w:rsidRPr="0035019B" w:rsidRDefault="0035019B" w:rsidP="0035019B">
      <w:pPr>
        <w:rPr>
          <w:lang w:eastAsia="en-US"/>
        </w:rPr>
      </w:pPr>
    </w:p>
    <w:p w:rsidR="004238D8" w:rsidRDefault="004238D8" w:rsidP="00D84344">
      <w:pPr>
        <w:pStyle w:val="Ttulo1"/>
        <w:rPr>
          <w:rFonts w:ascii="Calibri" w:hAnsi="Calibri"/>
          <w:b/>
          <w:color w:val="548DD4"/>
        </w:rPr>
      </w:pPr>
    </w:p>
    <w:p w:rsidR="00F04E2B" w:rsidRPr="00393BA9" w:rsidRDefault="00F04E2B" w:rsidP="00D84344">
      <w:pPr>
        <w:pStyle w:val="Ttulo1"/>
        <w:rPr>
          <w:rFonts w:ascii="Calibri" w:hAnsi="Calibri"/>
          <w:b/>
          <w:color w:val="548DD4"/>
        </w:rPr>
      </w:pPr>
      <w:r w:rsidRPr="00393BA9">
        <w:rPr>
          <w:rFonts w:ascii="Calibri" w:hAnsi="Calibri"/>
          <w:b/>
          <w:color w:val="548DD4"/>
        </w:rPr>
        <w:t>RESUMO</w:t>
      </w:r>
      <w:bookmarkEnd w:id="0"/>
    </w:p>
    <w:p w:rsidR="00DC656D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 Programa de vigilância epidemiológica (VE) das infeções nosocomiais da corrente sanguínea (INCS), coordenado pela Direcção-Geral da Saúde (DGS), integrado na rede nacional de VE, teve em </w:t>
      </w:r>
      <w:smartTag w:uri="urn:schemas-microsoft-com:office:smarttags" w:element="metricconverter">
        <w:smartTagPr>
          <w:attr w:name="ProductID" w:val="2011 a"/>
        </w:smartTagPr>
        <w:r w:rsidRPr="00393BA9">
          <w:rPr>
            <w:rFonts w:ascii="Calibri" w:hAnsi="Calibri" w:cs="Calibri"/>
            <w:sz w:val="22"/>
            <w:szCs w:val="22"/>
          </w:rPr>
          <w:t>2011 a</w:t>
        </w:r>
      </w:smartTag>
      <w:r w:rsidRPr="00393BA9">
        <w:rPr>
          <w:rFonts w:ascii="Calibri" w:hAnsi="Calibri" w:cs="Calibri"/>
          <w:sz w:val="22"/>
          <w:szCs w:val="22"/>
        </w:rPr>
        <w:t xml:space="preserve"> participação de </w:t>
      </w:r>
      <w:r w:rsidRPr="0064085D">
        <w:rPr>
          <w:rFonts w:ascii="Calibri" w:hAnsi="Calibri" w:cs="Calibri"/>
          <w:b/>
          <w:sz w:val="22"/>
          <w:szCs w:val="22"/>
        </w:rPr>
        <w:t>4</w:t>
      </w:r>
      <w:r w:rsidR="00AB0984">
        <w:rPr>
          <w:rFonts w:ascii="Calibri" w:hAnsi="Calibri" w:cs="Calibri"/>
          <w:b/>
          <w:sz w:val="22"/>
          <w:szCs w:val="22"/>
        </w:rPr>
        <w:t>3</w:t>
      </w:r>
      <w:r w:rsidRPr="0064085D">
        <w:rPr>
          <w:rFonts w:ascii="Calibri" w:hAnsi="Calibri" w:cs="Calibri"/>
          <w:b/>
          <w:sz w:val="22"/>
          <w:szCs w:val="22"/>
        </w:rPr>
        <w:t xml:space="preserve"> hospitais</w:t>
      </w:r>
      <w:r w:rsidRPr="00393BA9">
        <w:rPr>
          <w:rFonts w:ascii="Calibri" w:hAnsi="Calibri" w:cs="Calibri"/>
          <w:sz w:val="22"/>
          <w:szCs w:val="22"/>
        </w:rPr>
        <w:t xml:space="preserve"> (</w:t>
      </w:r>
      <w:r w:rsidR="00C82DF3">
        <w:rPr>
          <w:rFonts w:ascii="Calibri" w:hAnsi="Calibri" w:cs="Calibri"/>
          <w:sz w:val="22"/>
          <w:szCs w:val="22"/>
        </w:rPr>
        <w:t>3</w:t>
      </w:r>
      <w:r w:rsidR="00AB0984">
        <w:rPr>
          <w:rFonts w:ascii="Calibri" w:hAnsi="Calibri" w:cs="Calibri"/>
          <w:sz w:val="22"/>
          <w:szCs w:val="22"/>
        </w:rPr>
        <w:t>7</w:t>
      </w:r>
      <w:r w:rsidR="00C82DF3">
        <w:rPr>
          <w:rFonts w:ascii="Calibri" w:hAnsi="Calibri" w:cs="Calibri"/>
          <w:sz w:val="22"/>
          <w:szCs w:val="22"/>
        </w:rPr>
        <w:t>,6% dos hospitais do SNS)</w:t>
      </w:r>
      <w:r w:rsidR="00E374D0">
        <w:rPr>
          <w:rFonts w:ascii="Calibri" w:hAnsi="Calibri" w:cs="Calibri"/>
          <w:sz w:val="22"/>
          <w:szCs w:val="22"/>
        </w:rPr>
        <w:t xml:space="preserve"> e</w:t>
      </w:r>
      <w:r w:rsidRPr="00393BA9">
        <w:rPr>
          <w:rFonts w:ascii="Calibri" w:hAnsi="Calibri" w:cs="Calibri"/>
          <w:sz w:val="22"/>
          <w:szCs w:val="22"/>
        </w:rPr>
        <w:t xml:space="preserve"> 5 </w:t>
      </w:r>
      <w:r w:rsidR="0059345F">
        <w:rPr>
          <w:rFonts w:ascii="Calibri" w:hAnsi="Calibri" w:cs="Calibri"/>
          <w:sz w:val="22"/>
          <w:szCs w:val="22"/>
        </w:rPr>
        <w:t xml:space="preserve">hospitais </w:t>
      </w:r>
      <w:r w:rsidRPr="00393BA9">
        <w:rPr>
          <w:rFonts w:ascii="Calibri" w:hAnsi="Calibri" w:cs="Calibri"/>
          <w:sz w:val="22"/>
          <w:szCs w:val="22"/>
        </w:rPr>
        <w:t xml:space="preserve">privados. </w:t>
      </w:r>
    </w:p>
    <w:p w:rsidR="00F04E2B" w:rsidRPr="00393BA9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Foram estudados 266 425 doentes, correspondendo a 1 882 696 dias de internamento. </w:t>
      </w:r>
    </w:p>
    <w:p w:rsidR="00DC656D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Registaram-se 2 400 episódios de INCS</w:t>
      </w:r>
      <w:r w:rsidR="00DC656D" w:rsidRPr="00DC656D">
        <w:rPr>
          <w:rFonts w:ascii="Calibri" w:hAnsi="Calibri" w:cs="Calibri"/>
          <w:sz w:val="22"/>
          <w:szCs w:val="22"/>
        </w:rPr>
        <w:t>.</w:t>
      </w:r>
      <w:r w:rsidR="00DC656D">
        <w:rPr>
          <w:rFonts w:ascii="Calibri" w:hAnsi="Calibri" w:cs="Calibri"/>
          <w:sz w:val="22"/>
          <w:szCs w:val="22"/>
        </w:rPr>
        <w:t xml:space="preserve"> </w:t>
      </w:r>
    </w:p>
    <w:p w:rsidR="00DC656D" w:rsidRDefault="00F04E2B" w:rsidP="00D84344">
      <w:pPr>
        <w:pStyle w:val="Corpodetexto3"/>
        <w:rPr>
          <w:rFonts w:ascii="Calibri" w:hAnsi="Calibri" w:cs="Calibri"/>
          <w:b/>
          <w:sz w:val="22"/>
          <w:szCs w:val="22"/>
        </w:rPr>
      </w:pPr>
      <w:r w:rsidRPr="008F2E75">
        <w:rPr>
          <w:rFonts w:ascii="Calibri" w:hAnsi="Calibri" w:cs="Calibri"/>
          <w:sz w:val="22"/>
          <w:szCs w:val="22"/>
        </w:rPr>
        <w:t>A taxa global de INCS foi</w:t>
      </w:r>
      <w:r w:rsidRPr="00393BA9">
        <w:rPr>
          <w:rFonts w:ascii="Calibri" w:hAnsi="Calibri" w:cs="Calibri"/>
          <w:sz w:val="22"/>
          <w:szCs w:val="22"/>
        </w:rPr>
        <w:t xml:space="preserve"> de </w:t>
      </w:r>
      <w:r w:rsidRPr="0064085D">
        <w:rPr>
          <w:rFonts w:ascii="Calibri" w:hAnsi="Calibri" w:cs="Calibri"/>
          <w:b/>
          <w:sz w:val="22"/>
          <w:szCs w:val="22"/>
        </w:rPr>
        <w:t>0,87</w:t>
      </w:r>
      <w:r w:rsidRPr="00393BA9">
        <w:rPr>
          <w:rFonts w:ascii="Calibri" w:hAnsi="Calibri" w:cs="Calibri"/>
          <w:sz w:val="22"/>
          <w:szCs w:val="22"/>
        </w:rPr>
        <w:t xml:space="preserve"> </w:t>
      </w:r>
      <w:r w:rsidRPr="0064085D">
        <w:rPr>
          <w:rFonts w:ascii="Calibri" w:hAnsi="Calibri" w:cs="Calibri"/>
          <w:b/>
          <w:sz w:val="22"/>
          <w:szCs w:val="22"/>
        </w:rPr>
        <w:t xml:space="preserve">por </w:t>
      </w:r>
      <w:r w:rsidR="008F2E75">
        <w:rPr>
          <w:rFonts w:ascii="Calibri" w:hAnsi="Calibri" w:cs="Calibri"/>
          <w:b/>
          <w:sz w:val="22"/>
          <w:szCs w:val="22"/>
        </w:rPr>
        <w:t>100</w:t>
      </w:r>
      <w:r w:rsidRPr="0064085D">
        <w:rPr>
          <w:rFonts w:ascii="Calibri" w:hAnsi="Calibri" w:cs="Calibri"/>
          <w:b/>
          <w:sz w:val="22"/>
          <w:szCs w:val="22"/>
        </w:rPr>
        <w:t xml:space="preserve"> doentes admitidos</w:t>
      </w:r>
      <w:r w:rsidRPr="00393BA9">
        <w:rPr>
          <w:rFonts w:ascii="Calibri" w:hAnsi="Calibri" w:cs="Calibri"/>
          <w:b/>
          <w:sz w:val="18"/>
          <w:szCs w:val="18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>e de</w:t>
      </w:r>
      <w:r w:rsidR="008F2E75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</w:t>
      </w:r>
      <w:r w:rsidRPr="0064085D">
        <w:rPr>
          <w:rFonts w:ascii="Calibri" w:hAnsi="Calibri" w:cs="Calibri"/>
          <w:b/>
          <w:sz w:val="22"/>
          <w:szCs w:val="22"/>
        </w:rPr>
        <w:t>1,2 por mil dias de internamento</w:t>
      </w:r>
      <w:r w:rsidR="00DC656D">
        <w:rPr>
          <w:rFonts w:ascii="Calibri" w:hAnsi="Calibri" w:cs="Calibri"/>
          <w:b/>
          <w:sz w:val="22"/>
          <w:szCs w:val="22"/>
        </w:rPr>
        <w:t>.</w:t>
      </w:r>
    </w:p>
    <w:p w:rsidR="00F04E2B" w:rsidRPr="00393BA9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Observ</w:t>
      </w:r>
      <w:r w:rsidR="008F2E75">
        <w:rPr>
          <w:rFonts w:ascii="Calibri" w:hAnsi="Calibri" w:cs="Calibri"/>
          <w:sz w:val="22"/>
          <w:szCs w:val="22"/>
        </w:rPr>
        <w:t>ou-se</w:t>
      </w:r>
      <w:r w:rsidRPr="00393BA9">
        <w:rPr>
          <w:rFonts w:ascii="Calibri" w:hAnsi="Calibri" w:cs="Calibri"/>
          <w:sz w:val="22"/>
          <w:szCs w:val="22"/>
        </w:rPr>
        <w:t xml:space="preserve"> um predomínio de </w:t>
      </w:r>
      <w:r w:rsidR="008F2E75">
        <w:rPr>
          <w:rFonts w:ascii="Calibri" w:hAnsi="Calibri" w:cs="Calibri"/>
          <w:sz w:val="22"/>
          <w:szCs w:val="22"/>
        </w:rPr>
        <w:t>doentes do sexo masculino</w:t>
      </w:r>
      <w:r w:rsidRPr="00393BA9">
        <w:rPr>
          <w:rFonts w:ascii="Calibri" w:hAnsi="Calibri" w:cs="Calibri"/>
          <w:sz w:val="22"/>
          <w:szCs w:val="22"/>
        </w:rPr>
        <w:t xml:space="preserve"> (58,5%). </w:t>
      </w:r>
      <w:r w:rsidR="008F2E75">
        <w:rPr>
          <w:rFonts w:ascii="Calibri" w:hAnsi="Calibri" w:cs="Calibri"/>
          <w:sz w:val="22"/>
          <w:szCs w:val="22"/>
        </w:rPr>
        <w:t>D</w:t>
      </w:r>
      <w:r w:rsidR="008F2E75" w:rsidRPr="00393BA9">
        <w:rPr>
          <w:rFonts w:ascii="Calibri" w:hAnsi="Calibri" w:cs="Calibri"/>
          <w:sz w:val="22"/>
          <w:szCs w:val="22"/>
        </w:rPr>
        <w:t>os doentes com INCS</w:t>
      </w:r>
      <w:r w:rsidR="008F2E75">
        <w:rPr>
          <w:rFonts w:ascii="Calibri" w:hAnsi="Calibri" w:cs="Calibri"/>
          <w:sz w:val="22"/>
          <w:szCs w:val="22"/>
        </w:rPr>
        <w:t>,</w:t>
      </w:r>
      <w:r w:rsidR="008F2E75" w:rsidRPr="00393BA9">
        <w:rPr>
          <w:rFonts w:ascii="Calibri" w:hAnsi="Calibri" w:cs="Calibri"/>
          <w:sz w:val="22"/>
          <w:szCs w:val="22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 xml:space="preserve">61,1% tinham idade superior </w:t>
      </w:r>
      <w:r w:rsidR="008F2E75">
        <w:rPr>
          <w:rFonts w:ascii="Calibri" w:hAnsi="Calibri" w:cs="Calibri"/>
          <w:sz w:val="22"/>
          <w:szCs w:val="22"/>
        </w:rPr>
        <w:t xml:space="preserve">a 60 anos, dos quais, </w:t>
      </w:r>
      <w:r w:rsidRPr="00393BA9">
        <w:rPr>
          <w:rFonts w:ascii="Calibri" w:hAnsi="Calibri" w:cs="Calibri"/>
          <w:sz w:val="22"/>
          <w:szCs w:val="22"/>
        </w:rPr>
        <w:t xml:space="preserve">18,4% tinham mais de 80 anos. </w:t>
      </w:r>
    </w:p>
    <w:p w:rsidR="008F2E75" w:rsidRDefault="00F04E2B" w:rsidP="00D84344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Os grupos de serviços/áreas assistenciais com proporção e densidade de INCS mais elevadas foram os serviços de Hematologia e Oncologia (Pediátrica e Adultos) e as Unidades de Cuidados Intensivos (Polivalentes e outras). </w:t>
      </w:r>
    </w:p>
    <w:p w:rsidR="008F2E75" w:rsidRDefault="00F04E2B" w:rsidP="00D84344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Os episódios de </w:t>
      </w:r>
      <w:r w:rsidRPr="008F2E75">
        <w:rPr>
          <w:rFonts w:ascii="Calibri" w:hAnsi="Calibri" w:cs="Calibri"/>
          <w:color w:val="000000"/>
          <w:sz w:val="22"/>
          <w:szCs w:val="22"/>
        </w:rPr>
        <w:t>INCS primárias</w:t>
      </w:r>
      <w:r w:rsidRPr="00393BA9">
        <w:rPr>
          <w:rFonts w:ascii="Calibri" w:hAnsi="Calibri" w:cs="Calibri"/>
          <w:color w:val="000000"/>
          <w:sz w:val="22"/>
          <w:szCs w:val="22"/>
        </w:rPr>
        <w:t xml:space="preserve"> corresponderam </w:t>
      </w:r>
      <w:r w:rsidRPr="008A0489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8A0489">
        <w:rPr>
          <w:rFonts w:ascii="Calibri" w:hAnsi="Calibri" w:cs="Calibri"/>
          <w:b/>
          <w:color w:val="000000"/>
          <w:sz w:val="22"/>
          <w:szCs w:val="22"/>
        </w:rPr>
        <w:t>5</w:t>
      </w:r>
      <w:r w:rsidR="008A0489" w:rsidRPr="008A0489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8A0489">
        <w:rPr>
          <w:rFonts w:ascii="Calibri" w:hAnsi="Calibri" w:cs="Calibri"/>
          <w:b/>
          <w:color w:val="000000"/>
          <w:sz w:val="22"/>
          <w:szCs w:val="22"/>
        </w:rPr>
        <w:t>,</w:t>
      </w:r>
      <w:r w:rsidR="008A0489" w:rsidRPr="008A0489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8A0489">
        <w:rPr>
          <w:rFonts w:ascii="Calibri" w:hAnsi="Calibri" w:cs="Calibri"/>
          <w:b/>
          <w:color w:val="000000"/>
          <w:sz w:val="22"/>
          <w:szCs w:val="22"/>
        </w:rPr>
        <w:t>%,</w:t>
      </w:r>
      <w:r w:rsidRPr="008A04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0489" w:rsidRPr="008A0489">
        <w:rPr>
          <w:rFonts w:ascii="Calibri" w:hAnsi="Calibri" w:cs="Calibri"/>
          <w:color w:val="000000"/>
          <w:sz w:val="22"/>
          <w:szCs w:val="22"/>
        </w:rPr>
        <w:t>incluindo</w:t>
      </w:r>
      <w:r w:rsidRPr="008A04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0489">
        <w:rPr>
          <w:rFonts w:ascii="Calibri" w:hAnsi="Calibri" w:cs="Calibri"/>
          <w:b/>
          <w:color w:val="000000"/>
          <w:sz w:val="22"/>
          <w:szCs w:val="22"/>
        </w:rPr>
        <w:t>1</w:t>
      </w:r>
      <w:r w:rsidR="008A0489" w:rsidRPr="008A0489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8A0489">
        <w:rPr>
          <w:rFonts w:ascii="Calibri" w:hAnsi="Calibri" w:cs="Calibri"/>
          <w:b/>
          <w:color w:val="000000"/>
          <w:sz w:val="22"/>
          <w:szCs w:val="22"/>
        </w:rPr>
        <w:t xml:space="preserve">,7% </w:t>
      </w:r>
      <w:r w:rsidRPr="008F2E75">
        <w:rPr>
          <w:rFonts w:ascii="Calibri" w:hAnsi="Calibri" w:cs="Calibri"/>
          <w:color w:val="000000"/>
          <w:sz w:val="22"/>
          <w:szCs w:val="22"/>
        </w:rPr>
        <w:t>associadas ao cateter vascular central</w:t>
      </w:r>
      <w:r w:rsidRPr="008F2E75">
        <w:rPr>
          <w:rFonts w:ascii="Calibri" w:hAnsi="Calibri" w:cs="Calibri"/>
          <w:color w:val="000000"/>
        </w:rPr>
        <w:t>.</w:t>
      </w:r>
      <w:r w:rsidRPr="008F2E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3BA9">
        <w:rPr>
          <w:rFonts w:ascii="Calibri" w:hAnsi="Calibri" w:cs="Calibri"/>
          <w:color w:val="000000"/>
          <w:sz w:val="22"/>
          <w:szCs w:val="22"/>
        </w:rPr>
        <w:t>F</w:t>
      </w: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oram mais frequentes nos serviços de Medicina Interna, Unidade de Cuidados Intensivos (UCI) polivalentes, Cirurgia Geral,  Especialidades Cirúrgicas e Hematologia e Oncologia. </w:t>
      </w:r>
    </w:p>
    <w:p w:rsidR="00F04E2B" w:rsidRPr="00393BA9" w:rsidRDefault="00F04E2B" w:rsidP="00D84344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 w:rsidRPr="00393BA9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Pr="008F2E75">
        <w:rPr>
          <w:rFonts w:ascii="Calibri" w:hAnsi="Calibri" w:cs="Calibri"/>
          <w:color w:val="000000"/>
          <w:sz w:val="22"/>
          <w:szCs w:val="22"/>
        </w:rPr>
        <w:t>INCS secundárias</w:t>
      </w: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 a infeção</w:t>
      </w:r>
      <w:r w:rsidRPr="00393BA9">
        <w:rPr>
          <w:rFonts w:ascii="Calibri" w:hAnsi="Calibri" w:cs="Calibri"/>
          <w:color w:val="000000"/>
          <w:sz w:val="22"/>
          <w:szCs w:val="22"/>
        </w:rPr>
        <w:t xml:space="preserve"> noutro local corresponderam a </w:t>
      </w:r>
      <w:r w:rsidRPr="0064085D">
        <w:rPr>
          <w:rFonts w:ascii="Calibri" w:hAnsi="Calibri" w:cs="Calibri"/>
          <w:b/>
          <w:color w:val="000000"/>
          <w:sz w:val="22"/>
          <w:szCs w:val="22"/>
        </w:rPr>
        <w:t>43,4%,</w:t>
      </w:r>
      <w:r w:rsidRPr="00393BA9">
        <w:rPr>
          <w:rFonts w:ascii="Calibri" w:hAnsi="Calibri" w:cs="Calibri"/>
          <w:color w:val="000000"/>
          <w:sz w:val="22"/>
          <w:szCs w:val="22"/>
        </w:rPr>
        <w:t xml:space="preserve"> sendo mais frequentes n</w:t>
      </w: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os serviços de Medicina Interna, UCI polivalentes, Hematologia e Oncologia, Cirurgia Geral e Especialidades Cirúrgicas. </w:t>
      </w:r>
    </w:p>
    <w:p w:rsidR="00F04E2B" w:rsidRPr="00393BA9" w:rsidRDefault="00F04E2B" w:rsidP="00D84344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Obteve-se uma </w:t>
      </w:r>
      <w:r w:rsidRPr="008F2E75">
        <w:rPr>
          <w:rFonts w:ascii="Calibri" w:hAnsi="Calibri" w:cs="Calibri"/>
          <w:sz w:val="22"/>
          <w:szCs w:val="22"/>
        </w:rPr>
        <w:t>taxa de INCS associada a cateter venoso central (CVC) de</w:t>
      </w:r>
      <w:r w:rsidRPr="0064085D">
        <w:rPr>
          <w:rFonts w:ascii="Calibri" w:hAnsi="Calibri" w:cs="Calibri"/>
          <w:b/>
          <w:sz w:val="22"/>
          <w:szCs w:val="22"/>
        </w:rPr>
        <w:t xml:space="preserve"> 2,2 por mil dias de exposição</w:t>
      </w:r>
      <w:r w:rsidRPr="00393BA9">
        <w:rPr>
          <w:rFonts w:ascii="Calibri" w:hAnsi="Calibri" w:cs="Calibri"/>
          <w:sz w:val="22"/>
          <w:szCs w:val="22"/>
        </w:rPr>
        <w:t xml:space="preserve"> a este dispositivo, predominantemente nos serviços de Hematologia/Oncologia (Pediátrica e Adultos), Especialidades Cirúrgicas, Medicina/Especialidades Médicas e Cirurgia Geral. Os Serviços de Pediatria Geral apresentaram uma taxa de 1% de INCS associadas a CVC.</w:t>
      </w:r>
    </w:p>
    <w:p w:rsidR="008F2E75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No que se refere aos fatores de risco intrínseco, a neoplasia sólida foi assinalada em 23% dos doentes com INCS, a </w:t>
      </w:r>
      <w:r w:rsidR="0072751F" w:rsidRPr="00393BA9">
        <w:rPr>
          <w:rFonts w:ascii="Calibri" w:hAnsi="Calibri" w:cs="Calibri"/>
          <w:sz w:val="22"/>
          <w:szCs w:val="22"/>
        </w:rPr>
        <w:t>neutropenia</w:t>
      </w:r>
      <w:r w:rsidRPr="00393BA9">
        <w:rPr>
          <w:rFonts w:ascii="Calibri" w:hAnsi="Calibri" w:cs="Calibri"/>
          <w:sz w:val="22"/>
          <w:szCs w:val="22"/>
        </w:rPr>
        <w:t xml:space="preserve"> em 22%, a diabetes em 14%, leucemia/linfoma em 13%, e, as restantes situações de Imunossupressão em 28% dos doentes. </w:t>
      </w:r>
    </w:p>
    <w:p w:rsidR="00DC656D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Os </w:t>
      </w:r>
      <w:r w:rsidRPr="00BF7B8D">
        <w:rPr>
          <w:rFonts w:ascii="Calibri" w:hAnsi="Calibri" w:cs="Calibri"/>
          <w:b/>
          <w:sz w:val="22"/>
          <w:szCs w:val="22"/>
        </w:rPr>
        <w:t>fatores de risco extrínsecos</w:t>
      </w:r>
      <w:r w:rsidRPr="00393BA9">
        <w:rPr>
          <w:rFonts w:ascii="Calibri" w:hAnsi="Calibri" w:cs="Calibri"/>
          <w:sz w:val="22"/>
          <w:szCs w:val="22"/>
        </w:rPr>
        <w:t xml:space="preserve"> (FRE) mais significativos para o aparecimento de INCS foram a presença </w:t>
      </w:r>
      <w:r w:rsidRPr="008F2E75">
        <w:rPr>
          <w:rFonts w:ascii="Calibri" w:hAnsi="Calibri" w:cs="Calibri"/>
          <w:sz w:val="22"/>
          <w:szCs w:val="22"/>
        </w:rPr>
        <w:t>de CVC, a nutrição parentérica e a hemodiálise.</w:t>
      </w:r>
      <w:r w:rsidRPr="00393BA9">
        <w:rPr>
          <w:rFonts w:ascii="Calibri" w:hAnsi="Calibri" w:cs="Calibri"/>
          <w:sz w:val="22"/>
          <w:szCs w:val="22"/>
        </w:rPr>
        <w:t xml:space="preserve"> </w:t>
      </w:r>
    </w:p>
    <w:p w:rsidR="00F04E2B" w:rsidRPr="00393BA9" w:rsidRDefault="00F04E2B" w:rsidP="00D84344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As INCS secundárias tiveram origem predominantemente nas infeções urinárias e respiratórias.</w:t>
      </w:r>
    </w:p>
    <w:p w:rsidR="00F04E2B" w:rsidRPr="00393BA9" w:rsidRDefault="00F04E2B" w:rsidP="00D84344">
      <w:pPr>
        <w:pStyle w:val="Corpodetexto3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 xml:space="preserve">A </w:t>
      </w:r>
      <w:r w:rsidRPr="00BF7B8D">
        <w:rPr>
          <w:rFonts w:ascii="Calibri" w:hAnsi="Calibri"/>
          <w:b/>
          <w:sz w:val="22"/>
          <w:szCs w:val="22"/>
        </w:rPr>
        <w:t>demora média</w:t>
      </w:r>
      <w:r w:rsidRPr="00393BA9">
        <w:rPr>
          <w:rFonts w:ascii="Calibri" w:hAnsi="Calibri"/>
          <w:sz w:val="22"/>
          <w:szCs w:val="22"/>
        </w:rPr>
        <w:t xml:space="preserve"> nos doentes com INCS foi de </w:t>
      </w:r>
      <w:r w:rsidRPr="00BF7B8D">
        <w:rPr>
          <w:rFonts w:ascii="Calibri" w:hAnsi="Calibri"/>
          <w:b/>
          <w:sz w:val="22"/>
          <w:szCs w:val="22"/>
        </w:rPr>
        <w:t>36,8 dias</w:t>
      </w:r>
      <w:r w:rsidRPr="00393BA9">
        <w:rPr>
          <w:rFonts w:ascii="Calibri" w:hAnsi="Calibri"/>
          <w:sz w:val="22"/>
          <w:szCs w:val="22"/>
        </w:rPr>
        <w:t xml:space="preserve">, contrastando com a demora média global de todos os doentes admitidos nos Serviços em estudo, que foi de </w:t>
      </w:r>
      <w:r w:rsidRPr="00C82DF3">
        <w:rPr>
          <w:rFonts w:ascii="Calibri" w:hAnsi="Calibri"/>
          <w:b/>
          <w:sz w:val="22"/>
          <w:szCs w:val="22"/>
        </w:rPr>
        <w:t>7,3 dias</w:t>
      </w:r>
      <w:r w:rsidRPr="00393BA9">
        <w:rPr>
          <w:rFonts w:ascii="Calibri" w:hAnsi="Calibri"/>
          <w:sz w:val="22"/>
          <w:szCs w:val="22"/>
        </w:rPr>
        <w:t>.</w:t>
      </w:r>
    </w:p>
    <w:p w:rsidR="00DC656D" w:rsidRDefault="00F04E2B" w:rsidP="00D84344">
      <w:pPr>
        <w:pStyle w:val="Corpodetexto3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 xml:space="preserve">Dos doentes com episódio de INCS, 48,9% saíram com alta; 21,4% foram transferidos para outros serviços ou outras unidades de saúde e </w:t>
      </w:r>
      <w:r w:rsidRPr="00C82DF3">
        <w:rPr>
          <w:rFonts w:ascii="Calibri" w:hAnsi="Calibri"/>
          <w:sz w:val="22"/>
          <w:szCs w:val="22"/>
        </w:rPr>
        <w:t>29,7% faleceram</w:t>
      </w:r>
      <w:r w:rsidRPr="00BF7B8D">
        <w:rPr>
          <w:rFonts w:ascii="Calibri" w:hAnsi="Calibri"/>
          <w:b/>
          <w:sz w:val="22"/>
          <w:szCs w:val="22"/>
        </w:rPr>
        <w:t xml:space="preserve"> </w:t>
      </w:r>
      <w:r w:rsidRPr="008F2E75">
        <w:rPr>
          <w:rFonts w:ascii="Calibri" w:hAnsi="Calibri"/>
          <w:sz w:val="22"/>
          <w:szCs w:val="22"/>
        </w:rPr>
        <w:t xml:space="preserve">no decurso do episódio de INCS. </w:t>
      </w:r>
    </w:p>
    <w:p w:rsidR="00F04E2B" w:rsidRPr="00393BA9" w:rsidRDefault="00F04E2B" w:rsidP="00D84344">
      <w:pPr>
        <w:pStyle w:val="Corpodetexto3"/>
        <w:rPr>
          <w:rFonts w:ascii="Calibri" w:hAnsi="Calibri"/>
          <w:sz w:val="22"/>
          <w:szCs w:val="22"/>
        </w:rPr>
      </w:pPr>
      <w:r w:rsidRPr="008F2E75">
        <w:rPr>
          <w:rFonts w:ascii="Calibri" w:hAnsi="Calibri"/>
          <w:sz w:val="22"/>
          <w:szCs w:val="22"/>
        </w:rPr>
        <w:t>A</w:t>
      </w:r>
      <w:r w:rsidRPr="00393BA9">
        <w:rPr>
          <w:rFonts w:ascii="Calibri" w:hAnsi="Calibri"/>
          <w:sz w:val="22"/>
          <w:szCs w:val="22"/>
        </w:rPr>
        <w:t xml:space="preserve"> taxa bruta de mortalidade foi mais elevada nas UCI (polivalentes e Outras), Medicina Interna e Cirurgia Geral.</w:t>
      </w:r>
    </w:p>
    <w:p w:rsidR="00C82DF3" w:rsidRDefault="00F04E2B" w:rsidP="00D84344">
      <w:pPr>
        <w:pStyle w:val="Corpodetexto3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>Foram isol</w:t>
      </w:r>
      <w:r w:rsidR="0090481E">
        <w:rPr>
          <w:rFonts w:ascii="Calibri" w:hAnsi="Calibri"/>
          <w:sz w:val="22"/>
          <w:szCs w:val="22"/>
        </w:rPr>
        <w:t>ados 2553 microrganismos nos 2</w:t>
      </w:r>
      <w:r w:rsidRPr="00393BA9">
        <w:rPr>
          <w:rFonts w:ascii="Calibri" w:hAnsi="Calibri"/>
          <w:sz w:val="22"/>
          <w:szCs w:val="22"/>
        </w:rPr>
        <w:t xml:space="preserve">400 episódios de INCS, </w:t>
      </w:r>
      <w:r w:rsidR="0090481E">
        <w:rPr>
          <w:rFonts w:ascii="Calibri" w:hAnsi="Calibri"/>
          <w:sz w:val="22"/>
          <w:szCs w:val="22"/>
        </w:rPr>
        <w:t>dos quais, 48,6% eram Gram negativo, 46,5% eram Gram positivo e 4,6% eram fungos.</w:t>
      </w:r>
      <w:r w:rsidRPr="00393BA9">
        <w:rPr>
          <w:rFonts w:ascii="Calibri" w:hAnsi="Calibri"/>
          <w:sz w:val="22"/>
          <w:szCs w:val="22"/>
        </w:rPr>
        <w:t xml:space="preserve"> </w:t>
      </w:r>
    </w:p>
    <w:p w:rsidR="00F04E2B" w:rsidRPr="00393BA9" w:rsidRDefault="00F04E2B" w:rsidP="00D84344">
      <w:pPr>
        <w:pStyle w:val="Corpodetexto3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 xml:space="preserve">Os </w:t>
      </w:r>
      <w:r w:rsidR="00330E91" w:rsidRPr="00393BA9">
        <w:rPr>
          <w:rFonts w:ascii="Calibri" w:hAnsi="Calibri"/>
          <w:sz w:val="22"/>
          <w:szCs w:val="22"/>
        </w:rPr>
        <w:t>microrganismos predominantes</w:t>
      </w:r>
      <w:r w:rsidRPr="00393BA9">
        <w:rPr>
          <w:rFonts w:ascii="Calibri" w:hAnsi="Calibri"/>
          <w:sz w:val="22"/>
          <w:szCs w:val="22"/>
        </w:rPr>
        <w:t xml:space="preserve"> foram </w:t>
      </w:r>
      <w:r w:rsidRPr="00393BA9">
        <w:rPr>
          <w:rFonts w:ascii="Calibri" w:hAnsi="Calibri"/>
          <w:i/>
          <w:sz w:val="22"/>
          <w:szCs w:val="22"/>
        </w:rPr>
        <w:t>Staphylococcus aureus, Staphylococcus</w:t>
      </w:r>
      <w:r w:rsidRPr="00393BA9">
        <w:rPr>
          <w:rFonts w:ascii="Calibri" w:hAnsi="Calibri"/>
          <w:sz w:val="22"/>
          <w:szCs w:val="22"/>
        </w:rPr>
        <w:t xml:space="preserve"> coagulase negativo, </w:t>
      </w:r>
      <w:r w:rsidRPr="00393BA9">
        <w:rPr>
          <w:rFonts w:ascii="Calibri" w:hAnsi="Calibri"/>
          <w:i/>
          <w:sz w:val="22"/>
          <w:szCs w:val="22"/>
        </w:rPr>
        <w:t>Escherichia coli</w:t>
      </w:r>
      <w:r w:rsidRPr="00393BA9">
        <w:rPr>
          <w:rFonts w:ascii="Calibri" w:hAnsi="Calibri"/>
          <w:sz w:val="22"/>
          <w:szCs w:val="22"/>
        </w:rPr>
        <w:t xml:space="preserve"> e </w:t>
      </w:r>
      <w:r w:rsidRPr="00393BA9">
        <w:rPr>
          <w:rFonts w:ascii="Calibri" w:hAnsi="Calibri"/>
          <w:i/>
          <w:sz w:val="22"/>
          <w:szCs w:val="22"/>
        </w:rPr>
        <w:t>Klebsiella</w:t>
      </w:r>
      <w:r w:rsidRPr="00393BA9">
        <w:rPr>
          <w:rFonts w:ascii="Calibri" w:hAnsi="Calibri"/>
          <w:sz w:val="22"/>
          <w:szCs w:val="22"/>
        </w:rPr>
        <w:t xml:space="preserve"> sp., representando cerca de 60% do total de agentes etiológicos.</w:t>
      </w:r>
    </w:p>
    <w:p w:rsidR="008F2E75" w:rsidRDefault="00F04E2B" w:rsidP="0035019B">
      <w:pPr>
        <w:jc w:val="both"/>
        <w:rPr>
          <w:rFonts w:ascii="Calibri" w:hAnsi="Calibri" w:cs="Calibri"/>
          <w:sz w:val="22"/>
          <w:szCs w:val="22"/>
        </w:rPr>
      </w:pPr>
      <w:r w:rsidRPr="008F2E75">
        <w:rPr>
          <w:rFonts w:ascii="Calibri" w:hAnsi="Calibri" w:cs="Calibri"/>
          <w:sz w:val="22"/>
          <w:szCs w:val="22"/>
        </w:rPr>
        <w:t>A taxa de</w:t>
      </w:r>
      <w:r w:rsidRPr="00BF7B8D">
        <w:rPr>
          <w:rFonts w:ascii="Calibri" w:hAnsi="Calibri" w:cs="Calibri"/>
          <w:b/>
          <w:sz w:val="22"/>
          <w:szCs w:val="22"/>
        </w:rPr>
        <w:t xml:space="preserve"> </w:t>
      </w:r>
      <w:r w:rsidRPr="008F2E75">
        <w:rPr>
          <w:rFonts w:ascii="Calibri" w:hAnsi="Calibri" w:cs="Calibri"/>
          <w:i/>
          <w:sz w:val="22"/>
          <w:szCs w:val="22"/>
        </w:rPr>
        <w:t xml:space="preserve">Staphylococcus aureus </w:t>
      </w:r>
      <w:r w:rsidRPr="008F2E75">
        <w:rPr>
          <w:rFonts w:ascii="Calibri" w:hAnsi="Calibri" w:cs="Calibri"/>
          <w:sz w:val="22"/>
          <w:szCs w:val="22"/>
        </w:rPr>
        <w:t>resistente à meticilina</w:t>
      </w:r>
      <w:r w:rsidRPr="00BF7B8D">
        <w:rPr>
          <w:rFonts w:ascii="Calibri" w:hAnsi="Calibri" w:cs="Calibri"/>
          <w:b/>
          <w:sz w:val="22"/>
          <w:szCs w:val="22"/>
        </w:rPr>
        <w:t xml:space="preserve"> (MRSA) </w:t>
      </w:r>
      <w:r w:rsidRPr="008F2E75">
        <w:rPr>
          <w:rFonts w:ascii="Calibri" w:hAnsi="Calibri" w:cs="Calibri"/>
          <w:sz w:val="22"/>
          <w:szCs w:val="22"/>
        </w:rPr>
        <w:t>foi de</w:t>
      </w:r>
      <w:r w:rsidRPr="00BF7B8D">
        <w:rPr>
          <w:rFonts w:ascii="Calibri" w:hAnsi="Calibri" w:cs="Calibri"/>
          <w:b/>
          <w:sz w:val="22"/>
          <w:szCs w:val="22"/>
        </w:rPr>
        <w:t xml:space="preserve"> 57,7%</w:t>
      </w:r>
      <w:r w:rsidRPr="00393BA9">
        <w:rPr>
          <w:rFonts w:ascii="Calibri" w:hAnsi="Calibri" w:cs="Calibri"/>
          <w:sz w:val="22"/>
          <w:szCs w:val="22"/>
        </w:rPr>
        <w:t xml:space="preserve"> no total das estirpes identificadas e as resistências de </w:t>
      </w:r>
      <w:r w:rsidRPr="00393BA9">
        <w:rPr>
          <w:rFonts w:ascii="Calibri" w:hAnsi="Calibri" w:cs="Calibri"/>
          <w:i/>
          <w:sz w:val="22"/>
          <w:szCs w:val="22"/>
        </w:rPr>
        <w:t xml:space="preserve">Acinetobacter baumannii </w:t>
      </w:r>
      <w:r w:rsidRPr="00393BA9">
        <w:rPr>
          <w:rFonts w:ascii="Calibri" w:hAnsi="Calibri" w:cs="Calibri"/>
          <w:sz w:val="22"/>
          <w:szCs w:val="22"/>
        </w:rPr>
        <w:t xml:space="preserve">às Cefolosporinas de terceira geração e aos Carbapenemes foram de 79,1% e 71,6% no total de estirpes. </w:t>
      </w:r>
    </w:p>
    <w:p w:rsidR="00C82DF3" w:rsidRDefault="00F04E2B" w:rsidP="0035019B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Verificou-se ainda a existência de 4,5% de resistências à Colistina no total de estirpes testadas. </w:t>
      </w:r>
    </w:p>
    <w:p w:rsidR="008F2E75" w:rsidRDefault="00F04E2B" w:rsidP="0035019B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Um número apreciável (30,3% das estirpes testadas, 28,9% no total de estirpes) de </w:t>
      </w:r>
      <w:r w:rsidRPr="00393BA9">
        <w:rPr>
          <w:rFonts w:ascii="Calibri" w:hAnsi="Calibri" w:cs="Calibri"/>
          <w:i/>
          <w:sz w:val="22"/>
          <w:szCs w:val="22"/>
        </w:rPr>
        <w:t>Klebsiella pneumoniae</w:t>
      </w:r>
      <w:r w:rsidR="0035019B">
        <w:rPr>
          <w:rFonts w:ascii="Calibri" w:hAnsi="Calibri" w:cs="Calibri"/>
          <w:i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são produtoras de be</w:t>
      </w:r>
      <w:r w:rsidR="00BF7B8D">
        <w:rPr>
          <w:rFonts w:ascii="Calibri" w:hAnsi="Calibri" w:cs="Calibri"/>
          <w:sz w:val="22"/>
          <w:szCs w:val="22"/>
        </w:rPr>
        <w:t>talactamase de espectro extendido</w:t>
      </w:r>
      <w:r w:rsidRPr="00393BA9">
        <w:rPr>
          <w:rFonts w:ascii="Calibri" w:hAnsi="Calibri" w:cs="Calibri"/>
          <w:sz w:val="22"/>
          <w:szCs w:val="22"/>
        </w:rPr>
        <w:t>.</w:t>
      </w:r>
      <w:r w:rsidR="0035019B">
        <w:rPr>
          <w:rFonts w:ascii="Calibri" w:hAnsi="Calibri" w:cs="Calibri"/>
          <w:sz w:val="22"/>
          <w:szCs w:val="22"/>
        </w:rPr>
        <w:t xml:space="preserve"> </w:t>
      </w:r>
    </w:p>
    <w:p w:rsidR="00F04E2B" w:rsidRDefault="00F04E2B" w:rsidP="0035019B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análise das resistências foi ainda limitada, devido às variações na informação disponibilizada pelos laboratórios de Microbiologia de cada Hospital aderente. </w:t>
      </w:r>
    </w:p>
    <w:p w:rsidR="008F2E75" w:rsidRDefault="008F2E75" w:rsidP="0035019B">
      <w:pPr>
        <w:jc w:val="both"/>
        <w:rPr>
          <w:rFonts w:ascii="Calibri" w:hAnsi="Calibri" w:cs="Calibri"/>
          <w:sz w:val="22"/>
          <w:szCs w:val="22"/>
        </w:rPr>
      </w:pPr>
    </w:p>
    <w:p w:rsidR="008F2E75" w:rsidRDefault="008F2E75" w:rsidP="0035019B">
      <w:pPr>
        <w:jc w:val="both"/>
        <w:rPr>
          <w:rFonts w:ascii="Calibri" w:hAnsi="Calibri" w:cs="Calibri"/>
          <w:sz w:val="22"/>
          <w:szCs w:val="22"/>
        </w:rPr>
      </w:pPr>
    </w:p>
    <w:p w:rsidR="00DC656D" w:rsidRDefault="00DC656D" w:rsidP="0035019B">
      <w:pPr>
        <w:jc w:val="both"/>
        <w:rPr>
          <w:rFonts w:ascii="Calibri" w:hAnsi="Calibri" w:cs="Calibri"/>
          <w:sz w:val="22"/>
          <w:szCs w:val="22"/>
        </w:rPr>
      </w:pPr>
    </w:p>
    <w:p w:rsidR="008F2E75" w:rsidRPr="00393BA9" w:rsidRDefault="008F2E75" w:rsidP="0035019B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D84344">
      <w:pPr>
        <w:pStyle w:val="Ttulo1"/>
        <w:rPr>
          <w:rFonts w:ascii="Calibri" w:hAnsi="Calibri"/>
          <w:b/>
          <w:color w:val="548DD4"/>
        </w:rPr>
      </w:pPr>
      <w:bookmarkStart w:id="1" w:name="_Toc345624856"/>
      <w:r w:rsidRPr="00393BA9">
        <w:rPr>
          <w:rFonts w:ascii="Calibri" w:hAnsi="Calibri"/>
          <w:b/>
          <w:color w:val="548DD4"/>
        </w:rPr>
        <w:lastRenderedPageBreak/>
        <w:t>LISTA DE ABREVI</w:t>
      </w:r>
      <w:r w:rsidR="008A0489">
        <w:rPr>
          <w:rFonts w:ascii="Calibri" w:hAnsi="Calibri"/>
          <w:b/>
          <w:color w:val="548DD4"/>
        </w:rPr>
        <w:t>A</w:t>
      </w:r>
      <w:r w:rsidRPr="00393BA9">
        <w:rPr>
          <w:rFonts w:ascii="Calibri" w:hAnsi="Calibri"/>
          <w:b/>
          <w:color w:val="548DD4"/>
        </w:rPr>
        <w:t>TURAS</w:t>
      </w:r>
      <w:bookmarkEnd w:id="1"/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tbl>
      <w:tblPr>
        <w:tblW w:w="8276" w:type="dxa"/>
        <w:tblInd w:w="59" w:type="dxa"/>
        <w:tblCellMar>
          <w:left w:w="70" w:type="dxa"/>
          <w:right w:w="70" w:type="dxa"/>
        </w:tblCellMar>
        <w:tblLook w:val="00A0"/>
      </w:tblPr>
      <w:tblGrid>
        <w:gridCol w:w="1854"/>
        <w:gridCol w:w="6422"/>
      </w:tblGrid>
      <w:tr w:rsidR="00CD72C7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2C7" w:rsidRPr="00393BA9" w:rsidRDefault="00CD72C7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ARSLVT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2C7" w:rsidRPr="00393BA9" w:rsidRDefault="00CD72C7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Administração Regional de Saúde Lisboa e Vale do Tejo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Comissão de Controlo de Infeção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CVC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Cateter Venoso Central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DGS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Direção Geral de Saúde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DQS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Departamento de Qualidade em Saúde</w:t>
            </w:r>
          </w:p>
        </w:tc>
      </w:tr>
      <w:tr w:rsidR="005C24A7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4A7" w:rsidRPr="00393BA9" w:rsidRDefault="005C24A7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GCR-PPCIRA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4A7" w:rsidRPr="00393BA9" w:rsidRDefault="005C24A7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de Coordenação Regional do PPCIRA</w:t>
            </w:r>
          </w:p>
        </w:tc>
      </w:tr>
      <w:tr w:rsidR="005C24A7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4A7" w:rsidRPr="00393BA9" w:rsidRDefault="005C24A7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GCL-PPCIRA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4A7" w:rsidRPr="00393BA9" w:rsidRDefault="005C24A7" w:rsidP="005C24A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de Coordenação Local do PPCIRA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IGI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Gastrintestinal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IIA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Intra-abdominal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ILC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do Local Cirúrgico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INCS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Nosocomial da Corrente Sanguínea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IPTM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da Pele e Tecidos Moles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Infeções Respiratória</w:t>
            </w:r>
          </w:p>
        </w:tc>
      </w:tr>
      <w:tr w:rsidR="00F04E2B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IU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Infeção Urinária</w:t>
            </w:r>
          </w:p>
        </w:tc>
      </w:tr>
      <w:tr w:rsidR="00F04E2B" w:rsidRPr="00393BA9" w:rsidTr="009E6C15">
        <w:trPr>
          <w:trHeight w:val="300"/>
        </w:trPr>
        <w:tc>
          <w:tcPr>
            <w:tcW w:w="185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MRSA</w:t>
            </w:r>
          </w:p>
        </w:tc>
        <w:tc>
          <w:tcPr>
            <w:tcW w:w="6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4E2B" w:rsidRPr="00393BA9" w:rsidRDefault="00F04E2B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 xml:space="preserve">Meticilina resistente </w:t>
            </w:r>
            <w:r w:rsidRPr="00393BA9">
              <w:rPr>
                <w:rFonts w:ascii="Calibri" w:hAnsi="Calibri"/>
                <w:i/>
                <w:color w:val="000000"/>
                <w:sz w:val="22"/>
                <w:szCs w:val="22"/>
              </w:rPr>
              <w:t>Staphylococcus aureus</w:t>
            </w:r>
          </w:p>
        </w:tc>
      </w:tr>
      <w:tr w:rsidR="008A0489" w:rsidRPr="00393BA9" w:rsidTr="009E6C15">
        <w:trPr>
          <w:trHeight w:val="300"/>
        </w:trPr>
        <w:tc>
          <w:tcPr>
            <w:tcW w:w="1854" w:type="dxa"/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PNCI</w:t>
            </w:r>
          </w:p>
        </w:tc>
        <w:tc>
          <w:tcPr>
            <w:tcW w:w="6422" w:type="dxa"/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Programa Nacional de Controlo de Infeção</w:t>
            </w:r>
          </w:p>
        </w:tc>
      </w:tr>
      <w:tr w:rsidR="005C24A7" w:rsidRPr="00393BA9" w:rsidTr="009E6C15">
        <w:trPr>
          <w:trHeight w:val="300"/>
        </w:trPr>
        <w:tc>
          <w:tcPr>
            <w:tcW w:w="1854" w:type="dxa"/>
            <w:noWrap/>
            <w:vAlign w:val="bottom"/>
          </w:tcPr>
          <w:p w:rsidR="005C24A7" w:rsidRDefault="009E6C15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PPCIRA</w:t>
            </w:r>
          </w:p>
          <w:p w:rsidR="009E6C15" w:rsidRPr="00393BA9" w:rsidRDefault="009E6C15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6422" w:type="dxa"/>
            <w:noWrap/>
            <w:vAlign w:val="bottom"/>
          </w:tcPr>
          <w:p w:rsidR="005C24A7" w:rsidRPr="00393BA9" w:rsidRDefault="005C24A7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 xml:space="preserve">Programa Nacional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Prevenção e Controlo da</w:t>
            </w: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 xml:space="preserve"> Infeção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das Resistências aos Antimicrobianos</w:t>
            </w:r>
          </w:p>
        </w:tc>
      </w:tr>
      <w:tr w:rsidR="008A0489" w:rsidRPr="00393BA9" w:rsidTr="009E6C15">
        <w:trPr>
          <w:trHeight w:val="300"/>
        </w:trPr>
        <w:tc>
          <w:tcPr>
            <w:tcW w:w="185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SNS</w:t>
            </w:r>
          </w:p>
        </w:tc>
        <w:tc>
          <w:tcPr>
            <w:tcW w:w="642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Sistema Nacional de Saúde</w:t>
            </w:r>
          </w:p>
        </w:tc>
      </w:tr>
      <w:tr w:rsidR="008A0489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UCI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Unidade de Cuidados Intensivos</w:t>
            </w:r>
          </w:p>
        </w:tc>
      </w:tr>
      <w:tr w:rsidR="008A0489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ULS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Unidade Local de Saúde</w:t>
            </w:r>
          </w:p>
        </w:tc>
      </w:tr>
      <w:tr w:rsidR="008A0489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VE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E91512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393BA9">
              <w:rPr>
                <w:rFonts w:ascii="Calibri" w:hAnsi="Calibri"/>
                <w:color w:val="000000"/>
                <w:sz w:val="22"/>
                <w:szCs w:val="22"/>
              </w:rPr>
              <w:t>Vigilância Epidemiológica</w:t>
            </w:r>
          </w:p>
        </w:tc>
      </w:tr>
      <w:tr w:rsidR="008A0489" w:rsidRPr="00393BA9" w:rsidTr="005C24A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489" w:rsidRPr="00393BA9" w:rsidRDefault="008A0489" w:rsidP="00AF101A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04E2B" w:rsidRPr="00393BA9" w:rsidRDefault="00F04E2B" w:rsidP="00D84344">
      <w:pPr>
        <w:jc w:val="both"/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393BA9" w:rsidRDefault="00F04E2B" w:rsidP="00D84344">
      <w:pPr>
        <w:rPr>
          <w:rFonts w:ascii="Calibri" w:hAnsi="Calibri"/>
          <w:lang w:eastAsia="en-US"/>
        </w:rPr>
      </w:pPr>
    </w:p>
    <w:p w:rsidR="00F04E2B" w:rsidRPr="00DF41C1" w:rsidRDefault="00F04E2B" w:rsidP="00CD72C7">
      <w:pPr>
        <w:pStyle w:val="Ttulodondice"/>
        <w:spacing w:line="360" w:lineRule="auto"/>
        <w:rPr>
          <w:rFonts w:ascii="Calibri" w:hAnsi="Calibri"/>
        </w:rPr>
      </w:pPr>
      <w:r w:rsidRPr="00DF41C1">
        <w:rPr>
          <w:rFonts w:ascii="Calibri" w:hAnsi="Calibri"/>
        </w:rPr>
        <w:lastRenderedPageBreak/>
        <w:t>Índice</w:t>
      </w:r>
    </w:p>
    <w:p w:rsidR="00F04E2B" w:rsidRPr="00DF41C1" w:rsidRDefault="00657B3F" w:rsidP="00150973">
      <w:pPr>
        <w:pStyle w:val="ndice1"/>
      </w:pPr>
      <w:r w:rsidRPr="00657B3F">
        <w:fldChar w:fldCharType="begin"/>
      </w:r>
      <w:r w:rsidR="00F04E2B" w:rsidRPr="00DF41C1">
        <w:instrText xml:space="preserve"> TOC \o "1-3" \h \z \u </w:instrText>
      </w:r>
      <w:r w:rsidRPr="00657B3F">
        <w:fldChar w:fldCharType="separate"/>
      </w:r>
      <w:hyperlink w:anchor="_Toc345624855" w:history="1">
        <w:r w:rsidR="00F04E2B" w:rsidRPr="00DF41C1">
          <w:rPr>
            <w:rStyle w:val="Hiperligao"/>
            <w:b/>
          </w:rPr>
          <w:t>RESUMO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_Toc345624855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2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150973">
      <w:pPr>
        <w:pStyle w:val="ndice1"/>
      </w:pPr>
      <w:hyperlink w:anchor="_Toc345624856" w:history="1">
        <w:r w:rsidR="00F04E2B" w:rsidRPr="00DF41C1">
          <w:rPr>
            <w:rStyle w:val="Hiperligao"/>
            <w:b/>
          </w:rPr>
          <w:t>LISTA DE ABREVI</w:t>
        </w:r>
        <w:r w:rsidR="008A0489" w:rsidRPr="00DF41C1">
          <w:rPr>
            <w:rStyle w:val="Hiperligao"/>
            <w:b/>
          </w:rPr>
          <w:t>A</w:t>
        </w:r>
        <w:r w:rsidR="00F04E2B" w:rsidRPr="00DF41C1">
          <w:rPr>
            <w:rStyle w:val="Hiperligao"/>
            <w:b/>
          </w:rPr>
          <w:t>TURAS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_Toc345624856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4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150973">
      <w:pPr>
        <w:pStyle w:val="ndice1"/>
      </w:pPr>
      <w:hyperlink w:anchor="_Toc345624857" w:history="1">
        <w:r w:rsidR="00F04E2B" w:rsidRPr="00DF41C1">
          <w:rPr>
            <w:rStyle w:val="Hiperligao"/>
            <w:b/>
          </w:rPr>
          <w:t>INTRODUÇÃO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_Toc345624857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7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150973">
      <w:pPr>
        <w:pStyle w:val="ndice1"/>
      </w:pPr>
      <w:hyperlink w:anchor="_Toc345624858" w:history="1">
        <w:r w:rsidR="00F04E2B" w:rsidRPr="00DF41C1">
          <w:rPr>
            <w:rStyle w:val="Hiperligao"/>
            <w:b/>
          </w:rPr>
          <w:t>MATERIAL E MÉTODOS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_Toc345624858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7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150973">
      <w:pPr>
        <w:pStyle w:val="ndice1"/>
      </w:pPr>
      <w:hyperlink w:anchor="_Toc345624859" w:history="1">
        <w:r w:rsidR="00F04E2B" w:rsidRPr="00DF41C1">
          <w:rPr>
            <w:rStyle w:val="Hiperligao"/>
            <w:b/>
          </w:rPr>
          <w:t>RESULTADOS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_Toc345624859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8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150973">
      <w:pPr>
        <w:pStyle w:val="ndice1"/>
      </w:pPr>
      <w:hyperlink w:anchor="_Toc345624860" w:history="1">
        <w:r w:rsidR="00F04E2B" w:rsidRPr="00DF41C1">
          <w:rPr>
            <w:rStyle w:val="Hiperligao"/>
            <w:b/>
          </w:rPr>
          <w:t>POPULAÇÃO ESTUDADA</w:t>
        </w:r>
        <w:r w:rsidR="00F04E2B" w:rsidRPr="00DF41C1">
          <w:rPr>
            <w:webHidden/>
          </w:rPr>
          <w:tab/>
        </w:r>
        <w:r w:rsidRPr="00DF41C1">
          <w:rPr>
            <w:webHidden/>
          </w:rPr>
          <w:fldChar w:fldCharType="begin"/>
        </w:r>
        <w:r w:rsidR="00F04E2B" w:rsidRPr="00DF41C1">
          <w:rPr>
            <w:webHidden/>
          </w:rPr>
          <w:instrText xml:space="preserve"> PAGEREF _Toc345624860 \h </w:instrText>
        </w:r>
        <w:r w:rsidRPr="00DF41C1">
          <w:rPr>
            <w:webHidden/>
          </w:rPr>
        </w:r>
        <w:r w:rsidRPr="00DF41C1">
          <w:rPr>
            <w:webHidden/>
          </w:rPr>
          <w:fldChar w:fldCharType="separate"/>
        </w:r>
        <w:r w:rsidR="004676CE">
          <w:rPr>
            <w:webHidden/>
          </w:rPr>
          <w:t>8</w:t>
        </w:r>
        <w:r w:rsidRPr="00DF41C1">
          <w:rPr>
            <w:webHidden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1" w:history="1">
        <w:r w:rsidR="003672C5">
          <w:rPr>
            <w:rStyle w:val="Hiperligao"/>
            <w:rFonts w:ascii="Calibri" w:hAnsi="Calibri"/>
            <w:noProof/>
            <w:sz w:val="22"/>
            <w:szCs w:val="22"/>
          </w:rPr>
          <w:t>Distribuição dos Hospitais aderentes p</w:t>
        </w:r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 xml:space="preserve">or </w:t>
        </w:r>
        <w:r w:rsidR="003672C5">
          <w:rPr>
            <w:rStyle w:val="Hiperligao"/>
            <w:rFonts w:ascii="Calibri" w:hAnsi="Calibri"/>
            <w:noProof/>
            <w:sz w:val="22"/>
            <w:szCs w:val="22"/>
          </w:rPr>
          <w:t>Regiões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="002860AE">
          <w:rPr>
            <w:rFonts w:ascii="Calibri" w:hAnsi="Calibri"/>
            <w:noProof/>
            <w:webHidden/>
            <w:sz w:val="22"/>
            <w:szCs w:val="22"/>
          </w:rPr>
          <w:t>8</w:t>
        </w:r>
      </w:hyperlink>
    </w:p>
    <w:p w:rsidR="00F04E2B" w:rsidRDefault="00657B3F" w:rsidP="00D84344">
      <w:pPr>
        <w:pStyle w:val="ndice2"/>
        <w:tabs>
          <w:tab w:val="right" w:leader="dot" w:pos="9345"/>
        </w:tabs>
        <w:spacing w:line="360" w:lineRule="auto"/>
      </w:pPr>
      <w:hyperlink w:anchor="_Toc345624862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Fatores de Risco para a Infeção Nosocomial da Corrente Sanguínea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_Toc345624862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10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2860AE" w:rsidRPr="002860AE" w:rsidRDefault="00345C86" w:rsidP="00345C86">
      <w:pPr>
        <w:ind w:firstLine="240"/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</w:pPr>
      <w:r>
        <w:rPr>
          <w:rStyle w:val="Hiperligao"/>
          <w:rFonts w:ascii="Calibri" w:hAnsi="Calibri"/>
          <w:noProof/>
          <w:sz w:val="22"/>
          <w:szCs w:val="22"/>
          <w:u w:val="none"/>
        </w:rPr>
        <w:t xml:space="preserve"> </w:t>
      </w:r>
      <w:r w:rsidR="002860AE" w:rsidRPr="002860AE"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Proporç</w:t>
      </w:r>
      <w:r w:rsidR="002860AE"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ão e Densidade de I</w:t>
      </w:r>
      <w:r w:rsidR="002860AE" w:rsidRPr="002860AE"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ncidência de</w:t>
      </w:r>
      <w:r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 xml:space="preserve"> </w:t>
      </w:r>
      <w:r w:rsidR="002860AE" w:rsidRPr="002860AE"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INCS…</w:t>
      </w:r>
      <w:r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……………………………………………………………………………….</w:t>
      </w:r>
      <w:r w:rsidR="002860AE" w:rsidRPr="002860AE">
        <w:rPr>
          <w:rStyle w:val="Hiperligao"/>
          <w:rFonts w:ascii="Calibri" w:hAnsi="Calibri"/>
          <w:noProof/>
          <w:color w:val="000000" w:themeColor="text1"/>
          <w:sz w:val="22"/>
          <w:szCs w:val="22"/>
          <w:u w:val="none"/>
        </w:rPr>
        <w:t>10</w:t>
      </w:r>
    </w:p>
    <w:p w:rsidR="002860AE" w:rsidRPr="002860AE" w:rsidRDefault="002860AE" w:rsidP="002860AE">
      <w:pPr>
        <w:rPr>
          <w:rStyle w:val="Hiperligao"/>
          <w:rFonts w:ascii="Calibri" w:hAnsi="Calibri"/>
          <w:noProof/>
          <w:sz w:val="22"/>
          <w:szCs w:val="22"/>
        </w:rPr>
      </w:pPr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3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Origens prováveis das INCS por Áreas Assistenciais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_Toc345624863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11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5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INCS associada ao cateter vascular central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_Toc345624865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12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6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Demora Média dos doentes com INCS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_Toc345624866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12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Default="00657B3F" w:rsidP="00D84344">
      <w:pPr>
        <w:pStyle w:val="ndice2"/>
        <w:tabs>
          <w:tab w:val="right" w:leader="dot" w:pos="9345"/>
        </w:tabs>
        <w:spacing w:line="360" w:lineRule="auto"/>
      </w:pPr>
      <w:hyperlink w:anchor="_Toc345624867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Resultado do internamento nos doentes com INCS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_Toc345624867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2860AE" w:rsidRDefault="002860AE" w:rsidP="002860AE">
      <w:pPr>
        <w:ind w:firstLine="240"/>
        <w:rPr>
          <w:rFonts w:asciiTheme="minorHAnsi" w:hAnsiTheme="minorHAnsi"/>
          <w:sz w:val="22"/>
          <w:szCs w:val="22"/>
        </w:rPr>
      </w:pPr>
      <w:r w:rsidRPr="002860AE">
        <w:rPr>
          <w:rFonts w:asciiTheme="minorHAnsi" w:hAnsiTheme="minorHAnsi"/>
          <w:sz w:val="22"/>
          <w:szCs w:val="22"/>
        </w:rPr>
        <w:t>Mortalidade e Idade nos doentes com INCS……………………………………………………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2860AE">
        <w:rPr>
          <w:rFonts w:asciiTheme="minorHAnsi" w:hAnsiTheme="minorHAnsi"/>
          <w:sz w:val="22"/>
          <w:szCs w:val="22"/>
        </w:rPr>
        <w:t>13</w:t>
      </w:r>
    </w:p>
    <w:p w:rsidR="002860AE" w:rsidRPr="002860AE" w:rsidRDefault="002860AE" w:rsidP="002860AE">
      <w:pPr>
        <w:ind w:firstLine="240"/>
        <w:rPr>
          <w:rFonts w:asciiTheme="minorHAnsi" w:hAnsiTheme="minorHAnsi"/>
          <w:sz w:val="22"/>
          <w:szCs w:val="22"/>
        </w:rPr>
      </w:pPr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8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Incidência de INCS de acordo com o tempo de internamento prévio ao episódio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_Toc345624868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69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Microrganismos isolados nos doentes com INCS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_Toc345624869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14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70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Padrões de Resistência dos Microrganismos aos Antibióticos Testados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_Toc345624870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15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150973" w:rsidRDefault="00657B3F" w:rsidP="00150973">
      <w:pPr>
        <w:pStyle w:val="ndice1"/>
      </w:pPr>
      <w:hyperlink w:anchor="_Toc345624871" w:history="1">
        <w:r w:rsidR="00F04E2B" w:rsidRPr="00150973">
          <w:rPr>
            <w:rStyle w:val="Hiperligao"/>
            <w:b/>
          </w:rPr>
          <w:t>DISCUSSÃO DOS RESULTADOS E CONCLUSÕES</w:t>
        </w:r>
        <w:r w:rsidR="00F04E2B" w:rsidRPr="00150973">
          <w:rPr>
            <w:webHidden/>
          </w:rPr>
          <w:tab/>
        </w:r>
        <w:r w:rsidRPr="00150973">
          <w:rPr>
            <w:webHidden/>
          </w:rPr>
          <w:fldChar w:fldCharType="begin"/>
        </w:r>
        <w:r w:rsidR="00F04E2B" w:rsidRPr="00150973">
          <w:rPr>
            <w:webHidden/>
          </w:rPr>
          <w:instrText xml:space="preserve"> PAGEREF _Toc345624871 \h </w:instrText>
        </w:r>
        <w:r w:rsidRPr="00150973">
          <w:rPr>
            <w:webHidden/>
          </w:rPr>
        </w:r>
        <w:r w:rsidRPr="00150973">
          <w:rPr>
            <w:webHidden/>
          </w:rPr>
          <w:fldChar w:fldCharType="separate"/>
        </w:r>
        <w:r w:rsidR="004676CE">
          <w:rPr>
            <w:webHidden/>
          </w:rPr>
          <w:t>16</w:t>
        </w:r>
        <w:r w:rsidRPr="00150973">
          <w:rPr>
            <w:webHidden/>
          </w:rPr>
          <w:fldChar w:fldCharType="end"/>
        </w:r>
      </w:hyperlink>
    </w:p>
    <w:p w:rsidR="00150973" w:rsidRPr="00150973" w:rsidRDefault="00150973" w:rsidP="00150973">
      <w:pPr>
        <w:pStyle w:val="ndice1"/>
      </w:pPr>
      <w:r w:rsidRPr="00150973">
        <w:rPr>
          <w:b/>
        </w:rPr>
        <w:t>LISTA DE ANEXOS</w:t>
      </w:r>
      <w:r w:rsidRPr="00150973">
        <w:t>……………………………………………………………………………………………………………………</w:t>
      </w:r>
      <w:r>
        <w:t>…………….</w:t>
      </w:r>
      <w:r w:rsidRPr="00150973">
        <w:t>17</w:t>
      </w:r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5624873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ANEXO I – Distribuição das INCS por Grupos de Serviços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_Toc345624873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18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DF41C1" w:rsidRDefault="00657B3F" w:rsidP="00D84344">
      <w:pPr>
        <w:pStyle w:val="ndice2"/>
        <w:tabs>
          <w:tab w:val="right" w:leader="dot" w:pos="9345"/>
        </w:tabs>
        <w:spacing w:line="360" w:lineRule="auto"/>
      </w:pPr>
      <w:hyperlink w:anchor="_Toc345624874" w:history="1">
        <w:r w:rsidR="00F04E2B" w:rsidRPr="00DF41C1">
          <w:rPr>
            <w:rStyle w:val="Hiperligao"/>
            <w:rFonts w:ascii="Calibri" w:hAnsi="Calibri"/>
            <w:noProof/>
            <w:sz w:val="22"/>
            <w:szCs w:val="22"/>
          </w:rPr>
          <w:t>ANEXO II – Distribuição dos microrganismos isolados nas INC por grupo e por origem provável</w:t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tab/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DF41C1">
          <w:rPr>
            <w:rFonts w:ascii="Calibri" w:hAnsi="Calibri"/>
            <w:noProof/>
            <w:webHidden/>
            <w:sz w:val="22"/>
            <w:szCs w:val="22"/>
          </w:rPr>
          <w:instrText xml:space="preserve"> PAGEREF _Toc345624874 \h </w:instrText>
        </w:r>
        <w:r w:rsidRPr="00DF41C1">
          <w:rPr>
            <w:rFonts w:ascii="Calibri" w:hAnsi="Calibri"/>
            <w:noProof/>
            <w:webHidden/>
            <w:sz w:val="22"/>
            <w:szCs w:val="22"/>
          </w:rPr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19</w:t>
        </w:r>
        <w:r w:rsidRPr="00DF41C1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BE6FDE" w:rsidRPr="00DF41C1" w:rsidRDefault="00BE6FDE" w:rsidP="00BE6FDE">
      <w:pPr>
        <w:rPr>
          <w:rFonts w:asciiTheme="minorHAnsi" w:hAnsiTheme="minorHAnsi"/>
          <w:sz w:val="22"/>
          <w:szCs w:val="22"/>
        </w:rPr>
      </w:pPr>
      <w:r w:rsidRPr="00DF41C1">
        <w:t xml:space="preserve">  </w:t>
      </w:r>
      <w:r w:rsidRPr="00DF41C1">
        <w:rPr>
          <w:rFonts w:asciiTheme="minorHAnsi" w:hAnsiTheme="minorHAnsi"/>
          <w:sz w:val="22"/>
          <w:szCs w:val="22"/>
        </w:rPr>
        <w:t xml:space="preserve">  ANEXO III - L</w:t>
      </w:r>
      <w:r w:rsidR="00150973">
        <w:rPr>
          <w:rFonts w:asciiTheme="minorHAnsi" w:hAnsiTheme="minorHAnsi"/>
          <w:sz w:val="22"/>
          <w:szCs w:val="22"/>
        </w:rPr>
        <w:t>ista de hospitais participantes</w:t>
      </w:r>
      <w:r w:rsidRPr="00DF41C1">
        <w:rPr>
          <w:rFonts w:asciiTheme="minorHAnsi" w:hAnsiTheme="minorHAnsi"/>
          <w:sz w:val="22"/>
          <w:szCs w:val="22"/>
        </w:rPr>
        <w:t>...........................................................................................</w:t>
      </w:r>
      <w:r w:rsidR="00150973">
        <w:rPr>
          <w:rFonts w:asciiTheme="minorHAnsi" w:hAnsiTheme="minorHAnsi"/>
          <w:sz w:val="22"/>
          <w:szCs w:val="22"/>
        </w:rPr>
        <w:t>.</w:t>
      </w:r>
      <w:r w:rsidRPr="00DF41C1">
        <w:rPr>
          <w:rFonts w:asciiTheme="minorHAnsi" w:hAnsiTheme="minorHAnsi"/>
          <w:sz w:val="22"/>
          <w:szCs w:val="22"/>
        </w:rPr>
        <w:t xml:space="preserve">21                                                                 </w:t>
      </w:r>
    </w:p>
    <w:p w:rsidR="00F04E2B" w:rsidRPr="00393BA9" w:rsidRDefault="00657B3F" w:rsidP="00141DA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F41C1">
        <w:rPr>
          <w:rFonts w:ascii="Calibri" w:hAnsi="Calibri"/>
          <w:sz w:val="22"/>
          <w:szCs w:val="22"/>
        </w:rPr>
        <w:fldChar w:fldCharType="end"/>
      </w: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DC5F44" w:rsidRDefault="00DC5F44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2860AE" w:rsidRDefault="002860AE" w:rsidP="00141DA7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color w:val="548DD4"/>
          <w:sz w:val="28"/>
          <w:szCs w:val="28"/>
        </w:rPr>
      </w:pPr>
    </w:p>
    <w:p w:rsidR="00F04E2B" w:rsidRPr="00393BA9" w:rsidRDefault="00F04E2B" w:rsidP="00141DA7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color w:val="548DD4"/>
          <w:sz w:val="28"/>
          <w:szCs w:val="28"/>
        </w:rPr>
      </w:pPr>
      <w:r w:rsidRPr="00393BA9">
        <w:rPr>
          <w:rFonts w:ascii="Calibri" w:hAnsi="Calibri"/>
          <w:b/>
          <w:color w:val="548DD4"/>
          <w:sz w:val="28"/>
          <w:szCs w:val="28"/>
        </w:rPr>
        <w:t>Índice de Tabelas</w:t>
      </w:r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C1783">
        <w:rPr>
          <w:rFonts w:ascii="Calibri" w:hAnsi="Calibri"/>
          <w:b/>
          <w:sz w:val="32"/>
          <w:szCs w:val="32"/>
        </w:rPr>
        <w:fldChar w:fldCharType="begin"/>
      </w:r>
      <w:r w:rsidR="00F04E2B" w:rsidRPr="00AC1783">
        <w:rPr>
          <w:rFonts w:ascii="Calibri" w:hAnsi="Calibri"/>
          <w:b/>
          <w:sz w:val="32"/>
          <w:szCs w:val="32"/>
        </w:rPr>
        <w:instrText xml:space="preserve"> TOC \h \z \c "Tabela" </w:instrText>
      </w:r>
      <w:r w:rsidRPr="00AC1783">
        <w:rPr>
          <w:rFonts w:ascii="Calibri" w:hAnsi="Calibri"/>
          <w:b/>
          <w:sz w:val="32"/>
          <w:szCs w:val="32"/>
        </w:rPr>
        <w:fldChar w:fldCharType="separate"/>
      </w:r>
      <w:hyperlink w:anchor="_Toc345624923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>Tabela 1: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 xml:space="preserve"> Distribuição geográfica dos hospitais participantes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_Toc345624923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8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4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 xml:space="preserve">Tabela 2: 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>Proporção e Densidade de incidência de INCS por grupos de Serviços N=2316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_Toc345624924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10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5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>Tabela 3: Distribuição das origens prováveis / grupos de serviços N=2400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_Toc345624925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11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6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 xml:space="preserve">Tabela 4: 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>Mortalidade nos doentes com INCS estratificada por faixas etárias N=698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_Toc345624926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7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 xml:space="preserve">Tabela 5: 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>Incidência de INC, estratificada por dias de internamento prévio ao episódio de INCS, por grupos de serviços/áreas assistenciais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_Toc345624927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13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8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 xml:space="preserve">Tabela 6: 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>Distribuição dos microrganismos isolados por frequência e por espécie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_Toc345624928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14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AC1783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29" w:history="1">
        <w:r w:rsidR="00F04E2B" w:rsidRPr="00AC1783">
          <w:rPr>
            <w:rStyle w:val="Hiperligao"/>
            <w:rFonts w:ascii="Calibri" w:hAnsi="Calibri"/>
            <w:noProof/>
            <w:sz w:val="22"/>
            <w:szCs w:val="22"/>
          </w:rPr>
          <w:t xml:space="preserve">Tabela 7: Resumo dos Padrões de resistência aos antimicrobianos em microrganismos epidemiologicamente significativos </w:t>
        </w:r>
        <w:r w:rsidR="00F04E2B" w:rsidRPr="00AC1783">
          <w:rPr>
            <w:rStyle w:val="Hiperligao"/>
            <w:rFonts w:ascii="Calibri" w:hAnsi="Calibri" w:cs="Calibri"/>
            <w:noProof/>
            <w:sz w:val="22"/>
            <w:szCs w:val="22"/>
          </w:rPr>
          <w:t>(comparação com os dados de 2010)</w:t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tab/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AC1783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_Toc345624929 \h </w:instrText>
        </w:r>
        <w:r w:rsidRPr="00AC1783">
          <w:rPr>
            <w:rFonts w:ascii="Calibri" w:hAnsi="Calibri"/>
            <w:noProof/>
            <w:webHidden/>
            <w:sz w:val="22"/>
            <w:szCs w:val="22"/>
          </w:rPr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16</w:t>
        </w:r>
        <w:r w:rsidRPr="00AC1783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292DFF">
      <w:pPr>
        <w:tabs>
          <w:tab w:val="left" w:pos="3815"/>
        </w:tabs>
        <w:spacing w:before="240" w:after="240"/>
        <w:rPr>
          <w:rFonts w:ascii="Calibri" w:hAnsi="Calibri"/>
          <w:b/>
          <w:color w:val="548DD4"/>
          <w:sz w:val="28"/>
          <w:szCs w:val="28"/>
        </w:rPr>
      </w:pPr>
      <w:r w:rsidRPr="00AC1783">
        <w:rPr>
          <w:rFonts w:ascii="Calibri" w:hAnsi="Calibri"/>
          <w:b/>
          <w:sz w:val="32"/>
          <w:szCs w:val="32"/>
        </w:rPr>
        <w:fldChar w:fldCharType="end"/>
      </w: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color w:val="548DD4"/>
          <w:sz w:val="28"/>
          <w:szCs w:val="28"/>
        </w:rPr>
      </w:pPr>
      <w:r w:rsidRPr="00393BA9">
        <w:rPr>
          <w:rFonts w:ascii="Calibri" w:hAnsi="Calibri"/>
          <w:b/>
          <w:color w:val="548DD4"/>
          <w:sz w:val="28"/>
          <w:szCs w:val="28"/>
        </w:rPr>
        <w:t>Índice de Gráficos</w:t>
      </w:r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393BA9">
        <w:rPr>
          <w:rFonts w:ascii="Calibri" w:hAnsi="Calibri"/>
          <w:b/>
          <w:sz w:val="32"/>
          <w:szCs w:val="32"/>
        </w:rPr>
        <w:fldChar w:fldCharType="begin"/>
      </w:r>
      <w:r w:rsidR="00F04E2B" w:rsidRPr="00393BA9">
        <w:rPr>
          <w:rFonts w:ascii="Calibri" w:hAnsi="Calibri"/>
          <w:b/>
          <w:sz w:val="32"/>
          <w:szCs w:val="32"/>
        </w:rPr>
        <w:instrText xml:space="preserve"> TOC \h \z \c "Gráfico" </w:instrText>
      </w:r>
      <w:r w:rsidRPr="00393BA9">
        <w:rPr>
          <w:rFonts w:ascii="Calibri" w:hAnsi="Calibri"/>
          <w:b/>
          <w:sz w:val="32"/>
          <w:szCs w:val="32"/>
        </w:rPr>
        <w:fldChar w:fldCharType="separate"/>
      </w:r>
      <w:hyperlink w:anchor="_Toc345624969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>Gráfico 1:Distribuição dos doentes com INCS por género em cada grupo etário N=2400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_Toc345624969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9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0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>Gráfico 2: Distribuição dos episódios de INCS por áreas assistenciais (grupos de serviços) N=2400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_Toc345624970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9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1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 xml:space="preserve">Gráfico 3: </w:t>
        </w:r>
        <w:r w:rsidR="00F04E2B" w:rsidRPr="00393BA9">
          <w:rPr>
            <w:rStyle w:val="Hiperligao"/>
            <w:rFonts w:ascii="Calibri" w:hAnsi="Calibri" w:cs="Calibri"/>
            <w:noProof/>
            <w:sz w:val="22"/>
            <w:szCs w:val="22"/>
          </w:rPr>
          <w:t>Distribuição dos fatores de risco extrínseco e intrínseco na população com INCS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_Toc345624971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10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2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>Gráfico 4: Distribuição das INCS por origem provável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_Toc345624972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11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3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 xml:space="preserve">Gráfico 5: </w:t>
        </w:r>
        <w:r w:rsidR="00F04E2B" w:rsidRPr="00393BA9">
          <w:rPr>
            <w:rStyle w:val="Hiperligao"/>
            <w:rFonts w:ascii="Calibri" w:hAnsi="Calibri" w:cs="Calibri"/>
            <w:noProof/>
            <w:sz w:val="22"/>
            <w:szCs w:val="22"/>
          </w:rPr>
          <w:t>Distribuição das INCS associadas ao CVC, por grupos de serviços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_Toc345624973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12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4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 xml:space="preserve">Gráfico 6: </w:t>
        </w:r>
        <w:r w:rsidR="00F04E2B" w:rsidRPr="00393BA9">
          <w:rPr>
            <w:rStyle w:val="Hiperligao"/>
            <w:rFonts w:ascii="Calibri" w:hAnsi="Calibri" w:cs="Calibri"/>
            <w:noProof/>
            <w:sz w:val="22"/>
            <w:szCs w:val="22"/>
          </w:rPr>
          <w:t>Demora média global de internamento e doentes com episódio de INCS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_Toc345624974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12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D84344">
      <w:pPr>
        <w:pStyle w:val="ndicedeilustraes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hyperlink w:anchor="_Toc345624975" w:history="1">
        <w:r w:rsidR="00F04E2B" w:rsidRPr="00393BA9">
          <w:rPr>
            <w:rStyle w:val="Hiperligao"/>
            <w:rFonts w:ascii="Calibri" w:hAnsi="Calibri"/>
            <w:noProof/>
            <w:sz w:val="22"/>
            <w:szCs w:val="22"/>
          </w:rPr>
          <w:t xml:space="preserve">Gráfico 7: </w:t>
        </w:r>
        <w:r w:rsidR="00F04E2B" w:rsidRPr="00393BA9">
          <w:rPr>
            <w:rStyle w:val="Hiperligao"/>
            <w:rFonts w:ascii="Calibri" w:hAnsi="Calibri" w:cs="Calibri"/>
            <w:noProof/>
            <w:sz w:val="22"/>
            <w:szCs w:val="22"/>
          </w:rPr>
          <w:t>Grupos de Microrganismos isolados nas INCS, por Grupos de Serviços N=2544</w:t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tab/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F04E2B" w:rsidRPr="00393BA9">
          <w:rPr>
            <w:rFonts w:ascii="Calibri" w:hAnsi="Calibri"/>
            <w:noProof/>
            <w:webHidden/>
            <w:sz w:val="22"/>
            <w:szCs w:val="22"/>
          </w:rPr>
          <w:instrText xml:space="preserve"> PAGEREF _Toc345624975 \h </w:instrText>
        </w:r>
        <w:r w:rsidRPr="00393BA9">
          <w:rPr>
            <w:rFonts w:ascii="Calibri" w:hAnsi="Calibri"/>
            <w:noProof/>
            <w:webHidden/>
            <w:sz w:val="22"/>
            <w:szCs w:val="22"/>
          </w:rPr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4676CE">
          <w:rPr>
            <w:rFonts w:ascii="Calibri" w:hAnsi="Calibri"/>
            <w:noProof/>
            <w:webHidden/>
            <w:sz w:val="22"/>
            <w:szCs w:val="22"/>
          </w:rPr>
          <w:t>15</w:t>
        </w:r>
        <w:r w:rsidRPr="00393BA9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:rsidR="00F04E2B" w:rsidRPr="00393BA9" w:rsidRDefault="00657B3F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  <w:r w:rsidRPr="00393BA9">
        <w:rPr>
          <w:rFonts w:ascii="Calibri" w:hAnsi="Calibri"/>
          <w:b/>
          <w:sz w:val="32"/>
          <w:szCs w:val="32"/>
        </w:rPr>
        <w:fldChar w:fldCharType="end"/>
      </w: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1B243C">
      <w:pPr>
        <w:tabs>
          <w:tab w:val="center" w:pos="4252"/>
          <w:tab w:val="right" w:pos="8504"/>
        </w:tabs>
        <w:spacing w:before="240" w:after="240"/>
        <w:rPr>
          <w:rFonts w:ascii="Calibri" w:hAnsi="Calibri"/>
          <w:b/>
          <w:sz w:val="32"/>
          <w:szCs w:val="32"/>
        </w:rPr>
      </w:pPr>
    </w:p>
    <w:p w:rsidR="00F04E2B" w:rsidRPr="00393BA9" w:rsidRDefault="00F04E2B" w:rsidP="00445AB4">
      <w:pPr>
        <w:pStyle w:val="Ttulo1"/>
        <w:rPr>
          <w:rFonts w:ascii="Calibri" w:hAnsi="Calibri"/>
          <w:b/>
          <w:color w:val="548DD4"/>
        </w:rPr>
      </w:pPr>
      <w:bookmarkStart w:id="2" w:name="_Toc345624857"/>
      <w:r w:rsidRPr="00393BA9">
        <w:rPr>
          <w:rFonts w:ascii="Calibri" w:hAnsi="Calibri"/>
          <w:b/>
          <w:color w:val="548DD4"/>
        </w:rPr>
        <w:lastRenderedPageBreak/>
        <w:t>INTRODUÇÃO</w:t>
      </w:r>
      <w:bookmarkEnd w:id="2"/>
    </w:p>
    <w:p w:rsidR="00F04E2B" w:rsidRPr="00393BA9" w:rsidRDefault="00F04E2B" w:rsidP="001B243C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A infeção nosocomial da corrente sanguínea (INCS) é considerada uma das infeções nosocomiais (IN) que mais contribui para a morbilidade e mortalidade hospitalares, para o aumento dos custos na prestação de cuidados de saúde e para a diminuição da qualidade de vida dos utentes. Por esta razão, é fundamental a sua monitorização contínua, integrada nos programas de</w:t>
      </w:r>
      <w:r w:rsidR="00AC1783">
        <w:rPr>
          <w:rFonts w:ascii="Calibri" w:hAnsi="Calibri" w:cs="Calibri"/>
          <w:sz w:val="22"/>
          <w:szCs w:val="22"/>
        </w:rPr>
        <w:t xml:space="preserve"> vigilância epidemiológica das I</w:t>
      </w:r>
      <w:r w:rsidRPr="00393BA9">
        <w:rPr>
          <w:rFonts w:ascii="Calibri" w:hAnsi="Calibri" w:cs="Calibri"/>
          <w:sz w:val="22"/>
          <w:szCs w:val="22"/>
        </w:rPr>
        <w:t xml:space="preserve">nstituições de Saúde. </w:t>
      </w:r>
    </w:p>
    <w:p w:rsidR="00C475A6" w:rsidRDefault="00F04E2B" w:rsidP="001B243C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 Programa de vigilância epidemiológica das infeções nosocomiais da corrente sanguínea (VE-INCS), integra-se na rede nacional de registo de infeção do Programa Nacional de Controlo de Infeção, Departamento da Qualidade na Saúde (DQS), sediado na</w:t>
      </w:r>
      <w:r w:rsidR="00BF7B8D">
        <w:rPr>
          <w:rFonts w:ascii="Calibri" w:hAnsi="Calibri" w:cs="Calibri"/>
          <w:sz w:val="22"/>
          <w:szCs w:val="22"/>
        </w:rPr>
        <w:t xml:space="preserve"> Direcção-Geral da Saúde (DGS).</w:t>
      </w:r>
      <w:r w:rsidRPr="00393BA9">
        <w:rPr>
          <w:rFonts w:ascii="Calibri" w:hAnsi="Calibri" w:cs="Calibri"/>
          <w:sz w:val="22"/>
          <w:szCs w:val="22"/>
        </w:rPr>
        <w:t xml:space="preserve"> Este programa iniciou-se há 10 anos, tendo como objetivo a monitorização das INCS adquiridas no hospital, através de um protocolo padronizado. </w:t>
      </w:r>
    </w:p>
    <w:p w:rsidR="00C475A6" w:rsidRDefault="00F04E2B" w:rsidP="001B243C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Com a adesão a este Programa, é possível aos hospitais obter indicadores específicos sobre a INCS nomeadamente os principais fatores de risco, permitindo a identificação de áreas específicas de intervenção para melhoria da qualidade e segurança do doente. </w:t>
      </w:r>
    </w:p>
    <w:p w:rsidR="004F4A50" w:rsidRDefault="00F04E2B" w:rsidP="001B243C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 envolvimento direto das comissões de controlo de infeção (CCI) neste Programa e a mobilização da rede de membros dinamizadores (elos de ligação) nos serviços, cria uma dinâmica de comunicação e de articulação entre diversas estruturas locais (serviços clínicos, laboratórios, CCI e Comissões de Antibióticos), favorecendo as atividades de prevenção e controlo da infeção. </w:t>
      </w:r>
    </w:p>
    <w:p w:rsidR="00F04E2B" w:rsidRPr="00393BA9" w:rsidRDefault="00F04E2B" w:rsidP="001B243C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Em 2010 foi iniciado o registo </w:t>
      </w:r>
      <w:r w:rsidRPr="00393BA9">
        <w:rPr>
          <w:rFonts w:ascii="Calibri" w:hAnsi="Calibri" w:cs="Calibri"/>
          <w:i/>
          <w:sz w:val="22"/>
          <w:szCs w:val="22"/>
        </w:rPr>
        <w:t>online</w:t>
      </w:r>
      <w:r w:rsidRPr="00393BA9">
        <w:rPr>
          <w:rFonts w:ascii="Calibri" w:hAnsi="Calibri" w:cs="Calibri"/>
          <w:sz w:val="22"/>
          <w:szCs w:val="22"/>
        </w:rPr>
        <w:t xml:space="preserve"> tendo tido, no primeiro ano, uma adesão de 19 hospitais</w:t>
      </w:r>
      <w:r w:rsidR="00BE1087">
        <w:rPr>
          <w:rFonts w:ascii="Calibri" w:hAnsi="Calibri" w:cs="Calibri"/>
          <w:sz w:val="22"/>
          <w:szCs w:val="22"/>
        </w:rPr>
        <w:t>.</w:t>
      </w:r>
    </w:p>
    <w:p w:rsidR="004F4A50" w:rsidRDefault="00F04E2B" w:rsidP="001B243C">
      <w:pPr>
        <w:jc w:val="both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>Trata-se de uma vigilância contínua, ativa e prospetiva. Até à data, a adesão tem sido voluntária</w:t>
      </w:r>
      <w:r w:rsidR="00BE1087">
        <w:rPr>
          <w:rFonts w:ascii="Calibri" w:hAnsi="Calibri"/>
          <w:sz w:val="22"/>
          <w:szCs w:val="22"/>
        </w:rPr>
        <w:t>, com tendência a tornar-se obrigatória em breve.</w:t>
      </w:r>
      <w:r w:rsidRPr="00393BA9">
        <w:rPr>
          <w:rFonts w:ascii="Calibri" w:hAnsi="Calibri"/>
          <w:sz w:val="22"/>
          <w:szCs w:val="22"/>
        </w:rPr>
        <w:t xml:space="preserve"> </w:t>
      </w:r>
    </w:p>
    <w:p w:rsidR="004F4A50" w:rsidRDefault="00F04E2B" w:rsidP="001B243C">
      <w:pPr>
        <w:jc w:val="both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 xml:space="preserve">Os Hospitais podem aderir com toda a população internada no hospital, ou apenas com alguns serviços selecionados, de acordo com os níveis de risco dos doentes e os recursos humanos e logísticos disponíveis. </w:t>
      </w:r>
    </w:p>
    <w:p w:rsidR="00F04E2B" w:rsidRPr="00393BA9" w:rsidRDefault="00F04E2B" w:rsidP="001B243C">
      <w:pPr>
        <w:jc w:val="both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>O registo obedece às orientações e definições de infeção contidas no protocolo elaborado pela coordenação do programa do PNCI/DGS (</w:t>
      </w:r>
      <w:hyperlink r:id="rId10" w:history="1">
        <w:r w:rsidRPr="00393BA9">
          <w:rPr>
            <w:rStyle w:val="Hiperligao"/>
            <w:rFonts w:ascii="Calibri" w:hAnsi="Calibri" w:cs="Calibri"/>
            <w:sz w:val="22"/>
            <w:szCs w:val="22"/>
          </w:rPr>
          <w:t>www.dgs.pt</w:t>
        </w:r>
      </w:hyperlink>
      <w:r w:rsidRPr="00393BA9">
        <w:rPr>
          <w:rFonts w:ascii="Calibri" w:hAnsi="Calibri"/>
          <w:sz w:val="22"/>
          <w:szCs w:val="22"/>
        </w:rPr>
        <w:t xml:space="preserve"> – microsite do PNCI). </w:t>
      </w:r>
    </w:p>
    <w:p w:rsidR="00F04E2B" w:rsidRPr="00393BA9" w:rsidRDefault="00F04E2B" w:rsidP="001B243C">
      <w:pPr>
        <w:jc w:val="both"/>
        <w:rPr>
          <w:rFonts w:ascii="Calibri" w:hAnsi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F04E2B" w:rsidRPr="00393BA9" w:rsidRDefault="00F04E2B" w:rsidP="00445AB4">
      <w:pPr>
        <w:pStyle w:val="Ttulo1"/>
        <w:rPr>
          <w:rFonts w:ascii="Calibri" w:hAnsi="Calibri"/>
          <w:b/>
          <w:color w:val="548DD4"/>
        </w:rPr>
      </w:pPr>
      <w:bookmarkStart w:id="3" w:name="_Toc345624858"/>
      <w:r w:rsidRPr="00393BA9">
        <w:rPr>
          <w:rFonts w:ascii="Calibri" w:hAnsi="Calibri"/>
          <w:b/>
          <w:color w:val="548DD4"/>
        </w:rPr>
        <w:t>MATERIAL E MÉTODOS</w:t>
      </w:r>
      <w:bookmarkEnd w:id="3"/>
    </w:p>
    <w:p w:rsidR="00C475A6" w:rsidRDefault="00F04E2B" w:rsidP="00022E14">
      <w:pPr>
        <w:jc w:val="both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 xml:space="preserve">O ponto de partida para o registo da INCS é o isolamento de um microrganismo na hemocultura de um doente internado nos serviços em estudo, seguido de confirmação clínica. </w:t>
      </w:r>
    </w:p>
    <w:p w:rsidR="00F04E2B" w:rsidRPr="00393BA9" w:rsidRDefault="00F04E2B" w:rsidP="00022E14">
      <w:pPr>
        <w:jc w:val="both"/>
        <w:rPr>
          <w:rFonts w:ascii="Calibri" w:hAnsi="Calibri"/>
          <w:sz w:val="22"/>
          <w:szCs w:val="22"/>
        </w:rPr>
      </w:pPr>
      <w:r w:rsidRPr="00393BA9">
        <w:rPr>
          <w:rFonts w:ascii="Calibri" w:hAnsi="Calibri"/>
          <w:sz w:val="22"/>
          <w:szCs w:val="22"/>
        </w:rPr>
        <w:t>Excluem-se as contaminações e as infeções adquiridas na comunidade. Para além da confirmação clínica, é</w:t>
      </w:r>
      <w:r w:rsidR="00BF7B8D">
        <w:rPr>
          <w:rFonts w:ascii="Calibri" w:hAnsi="Calibri"/>
          <w:sz w:val="22"/>
          <w:szCs w:val="22"/>
        </w:rPr>
        <w:t xml:space="preserve"> recolhida informação adicional</w:t>
      </w:r>
      <w:r w:rsidRPr="00393BA9">
        <w:rPr>
          <w:rFonts w:ascii="Calibri" w:hAnsi="Calibri"/>
          <w:sz w:val="22"/>
          <w:szCs w:val="22"/>
        </w:rPr>
        <w:t xml:space="preserve"> </w:t>
      </w:r>
      <w:r w:rsidR="00BF7B8D">
        <w:rPr>
          <w:rFonts w:ascii="Calibri" w:hAnsi="Calibri"/>
          <w:sz w:val="22"/>
          <w:szCs w:val="22"/>
        </w:rPr>
        <w:t>(</w:t>
      </w:r>
      <w:r w:rsidRPr="00393BA9">
        <w:rPr>
          <w:rFonts w:ascii="Calibri" w:hAnsi="Calibri"/>
          <w:sz w:val="22"/>
          <w:szCs w:val="22"/>
        </w:rPr>
        <w:t>demográfica, fatores de risco presentes, resultado do internamento, entre outros</w:t>
      </w:r>
      <w:r w:rsidR="00BF7B8D">
        <w:rPr>
          <w:rFonts w:ascii="Calibri" w:hAnsi="Calibri"/>
          <w:sz w:val="22"/>
          <w:szCs w:val="22"/>
        </w:rPr>
        <w:t>)</w:t>
      </w:r>
      <w:r w:rsidRPr="00393BA9">
        <w:rPr>
          <w:rFonts w:ascii="Calibri" w:hAnsi="Calibri"/>
          <w:sz w:val="22"/>
          <w:szCs w:val="22"/>
        </w:rPr>
        <w:t>.</w:t>
      </w:r>
    </w:p>
    <w:p w:rsidR="00F04E2B" w:rsidRPr="00393BA9" w:rsidRDefault="00F04E2B" w:rsidP="001B243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Na análise de dados são calculados os seguintes indicadores:</w:t>
      </w:r>
    </w:p>
    <w:p w:rsidR="00F04E2B" w:rsidRPr="00393BA9" w:rsidRDefault="00F04E2B" w:rsidP="001B243C">
      <w:pPr>
        <w:pStyle w:val="PargrafodaLista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incidência cumulativa de INCS, definida como a proporção de INCS por 100 doentes admitidos; </w:t>
      </w:r>
    </w:p>
    <w:p w:rsidR="00F04E2B" w:rsidRPr="00393BA9" w:rsidRDefault="00F04E2B" w:rsidP="001B243C">
      <w:pPr>
        <w:pStyle w:val="PargrafodaLista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densidade de incidência de INCS, definida como a taxa de INCS por 1000 dias de internamento;  </w:t>
      </w:r>
    </w:p>
    <w:p w:rsidR="00F04E2B" w:rsidRPr="00393BA9" w:rsidRDefault="00F04E2B" w:rsidP="001B243C">
      <w:pPr>
        <w:pStyle w:val="PargrafodaLista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incidência de INCS associadas a cateter vascular central (CVC), definida como a taxa de </w:t>
      </w:r>
      <w:r w:rsidR="00330E91" w:rsidRPr="00393BA9">
        <w:rPr>
          <w:rFonts w:ascii="Calibri" w:hAnsi="Calibri" w:cs="Calibri"/>
          <w:sz w:val="22"/>
          <w:szCs w:val="22"/>
        </w:rPr>
        <w:t>INCS por</w:t>
      </w:r>
      <w:r w:rsidRPr="00393BA9">
        <w:rPr>
          <w:rFonts w:ascii="Calibri" w:hAnsi="Calibri" w:cs="Calibri"/>
          <w:sz w:val="22"/>
          <w:szCs w:val="22"/>
        </w:rPr>
        <w:t xml:space="preserve"> 1000 dias de exposição ao CVC; </w:t>
      </w:r>
    </w:p>
    <w:p w:rsidR="00F04E2B" w:rsidRDefault="00F04E2B" w:rsidP="001B243C">
      <w:pPr>
        <w:pStyle w:val="PargrafodaLista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 índice de exposição ao risco - expresso em função do número de dias de exposição ao CVC em cada serviço aderente, a dividir pelo total de dias d</w:t>
      </w:r>
      <w:r w:rsidR="006C7E77">
        <w:rPr>
          <w:rFonts w:ascii="Calibri" w:hAnsi="Calibri" w:cs="Calibri"/>
          <w:sz w:val="22"/>
          <w:szCs w:val="22"/>
        </w:rPr>
        <w:t>e internamento no mesmo serviço;</w:t>
      </w:r>
    </w:p>
    <w:p w:rsidR="006C7E77" w:rsidRDefault="006C7E77" w:rsidP="001B243C">
      <w:pPr>
        <w:pStyle w:val="PargrafodaLista"/>
        <w:numPr>
          <w:ilvl w:val="0"/>
          <w:numId w:val="19"/>
        </w:numPr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percentagem de INCS por MRSA e por 1000 dias de internamento.</w:t>
      </w:r>
    </w:p>
    <w:p w:rsidR="006C7E77" w:rsidRPr="006C7E77" w:rsidRDefault="006C7E77" w:rsidP="006C7E77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6C7E77">
        <w:rPr>
          <w:rFonts w:ascii="Calibri" w:hAnsi="Calibri" w:cs="Calibri"/>
          <w:sz w:val="22"/>
          <w:szCs w:val="22"/>
        </w:rPr>
        <w:t xml:space="preserve">A análise da distribuição das INCS é estratificada por grupos de serviços/áreas assistenciais ou unidades funcionais, de modo a que os Hospitais possam utilizar os indicadores para </w:t>
      </w:r>
      <w:r w:rsidRPr="006C7E77">
        <w:rPr>
          <w:rFonts w:ascii="Calibri" w:hAnsi="Calibri" w:cs="Calibri"/>
          <w:i/>
          <w:sz w:val="22"/>
          <w:szCs w:val="22"/>
        </w:rPr>
        <w:t>benchmarking</w:t>
      </w:r>
      <w:r w:rsidRPr="006C7E77">
        <w:rPr>
          <w:rFonts w:ascii="Calibri" w:hAnsi="Calibri" w:cs="Calibri"/>
          <w:sz w:val="22"/>
          <w:szCs w:val="22"/>
        </w:rPr>
        <w:t>.</w:t>
      </w:r>
    </w:p>
    <w:p w:rsidR="00F04E2B" w:rsidRDefault="00F04E2B" w:rsidP="001B243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É estudada ainda a distribuição dos episódios de INCS por idade, género, tipo de serviço, origens prováveis, demora média global da população de risco e a demora média dos doentes com INCS e a taxa bruta de mortalidade nos doentes com INCS. </w:t>
      </w:r>
    </w:p>
    <w:p w:rsidR="00F04E2B" w:rsidRPr="00393BA9" w:rsidRDefault="00F04E2B" w:rsidP="001B243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análise microbiológica identifica os microrganismos predominantes nestas infeções e os respetivos padrões de resistência aos antimicrobianos, de acordo com as propostas do protocolo do Programa. </w:t>
      </w:r>
    </w:p>
    <w:p w:rsidR="009B15D4" w:rsidRDefault="009B15D4" w:rsidP="00445AB4">
      <w:pPr>
        <w:pStyle w:val="Ttulo1"/>
        <w:rPr>
          <w:rFonts w:ascii="Calibri" w:hAnsi="Calibri"/>
          <w:b/>
          <w:color w:val="548DD4"/>
        </w:rPr>
      </w:pPr>
      <w:bookmarkStart w:id="4" w:name="_Toc345624859"/>
    </w:p>
    <w:p w:rsidR="00F04E2B" w:rsidRPr="00393BA9" w:rsidRDefault="00F04E2B" w:rsidP="00445AB4">
      <w:pPr>
        <w:pStyle w:val="Ttulo1"/>
        <w:rPr>
          <w:rFonts w:ascii="Calibri" w:hAnsi="Calibri"/>
          <w:b/>
          <w:color w:val="548DD4"/>
        </w:rPr>
      </w:pPr>
      <w:r w:rsidRPr="00393BA9">
        <w:rPr>
          <w:rFonts w:ascii="Calibri" w:hAnsi="Calibri"/>
          <w:b/>
          <w:color w:val="548DD4"/>
        </w:rPr>
        <w:t>RESULTADOS</w:t>
      </w:r>
      <w:bookmarkEnd w:id="4"/>
      <w:r w:rsidRPr="00393BA9">
        <w:rPr>
          <w:rFonts w:ascii="Calibri" w:hAnsi="Calibri"/>
          <w:b/>
          <w:color w:val="548DD4"/>
        </w:rPr>
        <w:t xml:space="preserve">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Default="00F04E2B" w:rsidP="001B243C">
      <w:pPr>
        <w:pStyle w:val="Ttulo1"/>
        <w:rPr>
          <w:rFonts w:ascii="Calibri" w:hAnsi="Calibri"/>
          <w:b/>
          <w:color w:val="548DD4"/>
        </w:rPr>
      </w:pPr>
      <w:bookmarkStart w:id="5" w:name="_Toc345624860"/>
      <w:r w:rsidRPr="00393BA9">
        <w:rPr>
          <w:rFonts w:ascii="Calibri" w:hAnsi="Calibri"/>
          <w:b/>
          <w:color w:val="548DD4"/>
        </w:rPr>
        <w:t>POPULAÇÃO ESTUDADA</w:t>
      </w:r>
      <w:bookmarkEnd w:id="5"/>
    </w:p>
    <w:p w:rsidR="00BD6936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Em 2011, </w:t>
      </w:r>
      <w:r w:rsidR="0072697A" w:rsidRPr="00393BA9">
        <w:rPr>
          <w:rFonts w:ascii="Calibri" w:hAnsi="Calibri" w:cs="Calibri"/>
          <w:sz w:val="22"/>
          <w:szCs w:val="22"/>
        </w:rPr>
        <w:t xml:space="preserve">41 Hospitais </w:t>
      </w:r>
      <w:r w:rsidRPr="00393BA9">
        <w:rPr>
          <w:rFonts w:ascii="Calibri" w:hAnsi="Calibri" w:cs="Calibri"/>
          <w:sz w:val="22"/>
          <w:szCs w:val="22"/>
        </w:rPr>
        <w:t>aderiram ao Programa de VE das INCS, representando 31 centros hospitalares e 6 Unidades Locais de Saúde (ULS), assim como hospitais individuais,</w:t>
      </w:r>
      <w:r w:rsidR="00BF7B8D">
        <w:rPr>
          <w:rFonts w:ascii="Calibri" w:hAnsi="Calibri" w:cs="Calibri"/>
          <w:sz w:val="22"/>
          <w:szCs w:val="22"/>
        </w:rPr>
        <w:t xml:space="preserve"> entre os quais 5 privados (1 na Região Norte; 3 na</w:t>
      </w:r>
      <w:r w:rsidRPr="00393BA9">
        <w:rPr>
          <w:rFonts w:ascii="Calibri" w:hAnsi="Calibri" w:cs="Calibri"/>
          <w:sz w:val="22"/>
          <w:szCs w:val="22"/>
        </w:rPr>
        <w:t xml:space="preserve"> Região Lisb</w:t>
      </w:r>
      <w:r w:rsidR="00BF7B8D">
        <w:rPr>
          <w:rFonts w:ascii="Calibri" w:hAnsi="Calibri" w:cs="Calibri"/>
          <w:sz w:val="22"/>
          <w:szCs w:val="22"/>
        </w:rPr>
        <w:t>oa e Vale do Tejo e 1 na</w:t>
      </w:r>
      <w:r w:rsidRPr="00393BA9">
        <w:rPr>
          <w:rFonts w:ascii="Calibri" w:hAnsi="Calibri" w:cs="Calibri"/>
          <w:sz w:val="22"/>
          <w:szCs w:val="22"/>
        </w:rPr>
        <w:t xml:space="preserve"> Região do Algarve), correspondendo a 38,7% do total de Hospitais do SNS. </w:t>
      </w:r>
    </w:p>
    <w:p w:rsidR="00F346F4" w:rsidRDefault="00F346F4" w:rsidP="001B243C">
      <w:pPr>
        <w:jc w:val="both"/>
        <w:rPr>
          <w:rFonts w:ascii="Calibri" w:hAnsi="Calibri" w:cs="Calibri"/>
          <w:sz w:val="22"/>
          <w:szCs w:val="22"/>
        </w:rPr>
      </w:pPr>
    </w:p>
    <w:p w:rsidR="00BD6936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Dos hospitais aderentes, 58,3% estudaram as INCS em todos os serviços de internamento. </w:t>
      </w:r>
    </w:p>
    <w:p w:rsidR="00BD6936" w:rsidRDefault="00BD6936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tabela 1 apresenta a distribuição dos hospitais aderentes por região. </w:t>
      </w:r>
    </w:p>
    <w:p w:rsidR="00F04E2B" w:rsidRPr="00393BA9" w:rsidRDefault="00F04E2B" w:rsidP="008F5BC4">
      <w:pPr>
        <w:pStyle w:val="Corpodetexto3"/>
        <w:ind w:firstLine="708"/>
        <w:rPr>
          <w:rFonts w:ascii="Calibri" w:hAnsi="Calibri" w:cs="Calibri"/>
          <w:sz w:val="22"/>
          <w:szCs w:val="22"/>
        </w:rPr>
      </w:pPr>
    </w:p>
    <w:p w:rsidR="00F04E2B" w:rsidRPr="00BF7B8D" w:rsidRDefault="00F04E2B" w:rsidP="00FB24EB">
      <w:pPr>
        <w:pStyle w:val="Legenda"/>
        <w:keepNext/>
        <w:spacing w:after="0"/>
        <w:jc w:val="both"/>
        <w:rPr>
          <w:rFonts w:ascii="Calibri" w:hAnsi="Calibri" w:cs="Calibri"/>
          <w:b w:val="0"/>
          <w:color w:val="548DD4"/>
          <w:sz w:val="20"/>
          <w:szCs w:val="20"/>
          <w:u w:val="single"/>
        </w:rPr>
      </w:pPr>
      <w:bookmarkStart w:id="6" w:name="_Toc345624923"/>
      <w:r w:rsidRPr="00BF7B8D">
        <w:rPr>
          <w:rFonts w:ascii="Calibri" w:hAnsi="Calibri"/>
          <w:sz w:val="20"/>
          <w:szCs w:val="20"/>
        </w:rPr>
        <w:t xml:space="preserve">Tabela </w:t>
      </w:r>
      <w:r w:rsidR="00657B3F" w:rsidRPr="00BF7B8D">
        <w:rPr>
          <w:rFonts w:ascii="Calibri" w:hAnsi="Calibri"/>
          <w:sz w:val="20"/>
          <w:szCs w:val="20"/>
        </w:rPr>
        <w:fldChar w:fldCharType="begin"/>
      </w:r>
      <w:r w:rsidRPr="00BF7B8D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BF7B8D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1</w:t>
      </w:r>
      <w:r w:rsidR="00657B3F" w:rsidRPr="00BF7B8D">
        <w:rPr>
          <w:rFonts w:ascii="Calibri" w:hAnsi="Calibri"/>
          <w:sz w:val="20"/>
          <w:szCs w:val="20"/>
        </w:rPr>
        <w:fldChar w:fldCharType="end"/>
      </w:r>
      <w:r w:rsidRPr="00BF7B8D">
        <w:rPr>
          <w:rFonts w:ascii="Calibri" w:hAnsi="Calibri"/>
          <w:sz w:val="20"/>
          <w:szCs w:val="20"/>
        </w:rPr>
        <w:t>:</w:t>
      </w:r>
      <w:r w:rsidRPr="00BF7B8D">
        <w:rPr>
          <w:rFonts w:ascii="Calibri" w:hAnsi="Calibri" w:cs="Calibri"/>
          <w:b w:val="0"/>
          <w:sz w:val="20"/>
          <w:szCs w:val="20"/>
        </w:rPr>
        <w:t xml:space="preserve"> </w:t>
      </w:r>
      <w:r w:rsidRPr="009B15D4">
        <w:rPr>
          <w:rFonts w:ascii="Calibri" w:hAnsi="Calibri" w:cs="Calibri"/>
          <w:sz w:val="20"/>
          <w:szCs w:val="20"/>
        </w:rPr>
        <w:t>Distribuição geográfica dos hospitais participante</w:t>
      </w:r>
      <w:bookmarkEnd w:id="6"/>
      <w:r w:rsidR="00BF7B8D" w:rsidRPr="009B15D4">
        <w:rPr>
          <w:rFonts w:ascii="Calibri" w:hAnsi="Calibri" w:cs="Calibri"/>
          <w:sz w:val="20"/>
          <w:szCs w:val="20"/>
        </w:rPr>
        <w:t>s</w:t>
      </w:r>
    </w:p>
    <w:tbl>
      <w:tblPr>
        <w:tblW w:w="96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348"/>
        <w:gridCol w:w="1879"/>
        <w:gridCol w:w="1588"/>
        <w:gridCol w:w="1800"/>
        <w:gridCol w:w="1600"/>
        <w:gridCol w:w="1475"/>
      </w:tblGrid>
      <w:tr w:rsidR="00F04E2B" w:rsidRPr="00BF7B8D" w:rsidTr="00BF7B8D">
        <w:trPr>
          <w:trHeight w:val="403"/>
        </w:trPr>
        <w:tc>
          <w:tcPr>
            <w:tcW w:w="0" w:type="auto"/>
            <w:tcBorders>
              <w:top w:val="double" w:sz="4" w:space="0" w:color="17365D"/>
              <w:bottom w:val="double" w:sz="4" w:space="0" w:color="17365D"/>
              <w:right w:val="single" w:sz="8" w:space="0" w:color="FFFFFF"/>
            </w:tcBorders>
            <w:shd w:val="clear" w:color="auto" w:fill="F2F2F2"/>
            <w:noWrap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7" w:name="_Hlk343592802"/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REGIÃO/</w:t>
            </w:r>
          </w:p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A.R.S.</w:t>
            </w:r>
          </w:p>
        </w:tc>
        <w:tc>
          <w:tcPr>
            <w:tcW w:w="1879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F2F2F2"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Total de Hospitais públicos/Região</w:t>
            </w:r>
          </w:p>
        </w:tc>
        <w:tc>
          <w:tcPr>
            <w:tcW w:w="1588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F2F2F2"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N.º H. Públicos aderentes/ Região</w:t>
            </w:r>
          </w:p>
        </w:tc>
        <w:tc>
          <w:tcPr>
            <w:tcW w:w="1800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F2F2F2"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N.º de H. Privados aderentes/ Região</w:t>
            </w:r>
          </w:p>
        </w:tc>
        <w:tc>
          <w:tcPr>
            <w:tcW w:w="1600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F2F2F2"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% de H. Publ. aderentes /Região</w:t>
            </w:r>
          </w:p>
        </w:tc>
        <w:tc>
          <w:tcPr>
            <w:tcW w:w="0" w:type="auto"/>
            <w:tcBorders>
              <w:top w:val="double" w:sz="4" w:space="0" w:color="17365D"/>
              <w:left w:val="single" w:sz="8" w:space="0" w:color="FFFFFF"/>
              <w:bottom w:val="double" w:sz="4" w:space="0" w:color="17365D"/>
            </w:tcBorders>
            <w:shd w:val="clear" w:color="auto" w:fill="F2F2F2"/>
            <w:vAlign w:val="center"/>
          </w:tcPr>
          <w:p w:rsidR="00F04E2B" w:rsidRPr="00BF7B8D" w:rsidRDefault="00F04E2B" w:rsidP="002C6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de H. com </w:t>
            </w:r>
            <w:r w:rsidRPr="00BF7B8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todos os Serviços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top w:val="double" w:sz="4" w:space="0" w:color="17365D"/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879" w:type="dxa"/>
            <w:tcBorders>
              <w:top w:val="double" w:sz="4" w:space="0" w:color="17365D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32* (12 CH + 1 ULS)</w:t>
            </w:r>
          </w:p>
        </w:tc>
        <w:tc>
          <w:tcPr>
            <w:tcW w:w="1588" w:type="dxa"/>
            <w:tcBorders>
              <w:top w:val="double" w:sz="4" w:space="0" w:color="17365D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double" w:sz="4" w:space="0" w:color="17365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0" w:type="dxa"/>
            <w:tcBorders>
              <w:top w:val="double" w:sz="4" w:space="0" w:color="17365D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34,4%</w:t>
            </w:r>
          </w:p>
        </w:tc>
        <w:tc>
          <w:tcPr>
            <w:tcW w:w="0" w:type="auto"/>
            <w:tcBorders>
              <w:top w:val="double" w:sz="4" w:space="0" w:color="17365D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45,5%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24 (9CH + 2 ULS)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16,7%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0%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ARSLVT</w:t>
            </w:r>
          </w:p>
        </w:tc>
        <w:tc>
          <w:tcPr>
            <w:tcW w:w="1879" w:type="dxa"/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26 (9 CH)</w:t>
            </w:r>
          </w:p>
        </w:tc>
        <w:tc>
          <w:tcPr>
            <w:tcW w:w="1588" w:type="dxa"/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80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46,2%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62,5%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Alentejo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4 (2 ULS)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50%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Algarve</w:t>
            </w:r>
          </w:p>
        </w:tc>
        <w:tc>
          <w:tcPr>
            <w:tcW w:w="1879" w:type="dxa"/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3 (1 CH)</w:t>
            </w:r>
          </w:p>
        </w:tc>
        <w:tc>
          <w:tcPr>
            <w:tcW w:w="1588" w:type="dxa"/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66,7%</w:t>
            </w:r>
          </w:p>
        </w:tc>
        <w:tc>
          <w:tcPr>
            <w:tcW w:w="0" w:type="auto"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100%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R. A. Madeira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 (1 ULS)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100%</w:t>
            </w:r>
          </w:p>
        </w:tc>
      </w:tr>
      <w:tr w:rsidR="00F04E2B" w:rsidRPr="00BF7B8D" w:rsidTr="00BF7B8D">
        <w:trPr>
          <w:trHeight w:val="315"/>
        </w:trPr>
        <w:tc>
          <w:tcPr>
            <w:tcW w:w="0" w:type="auto"/>
            <w:tcBorders>
              <w:bottom w:val="double" w:sz="4" w:space="0" w:color="17365D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R. A. Açores</w:t>
            </w:r>
          </w:p>
        </w:tc>
        <w:tc>
          <w:tcPr>
            <w:tcW w:w="1879" w:type="dxa"/>
            <w:tcBorders>
              <w:bottom w:val="double" w:sz="4" w:space="0" w:color="17365D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bottom w:val="double" w:sz="4" w:space="0" w:color="17365D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bottom w:val="double" w:sz="4" w:space="0" w:color="17365D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66,7%</w:t>
            </w:r>
          </w:p>
        </w:tc>
        <w:tc>
          <w:tcPr>
            <w:tcW w:w="0" w:type="auto"/>
            <w:tcBorders>
              <w:left w:val="single" w:sz="8" w:space="0" w:color="FFFFFF"/>
              <w:bottom w:val="double" w:sz="4" w:space="0" w:color="17365D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50%</w:t>
            </w:r>
          </w:p>
        </w:tc>
      </w:tr>
      <w:tr w:rsidR="00F04E2B" w:rsidRPr="00BF7B8D" w:rsidTr="00BF7B8D">
        <w:trPr>
          <w:trHeight w:val="300"/>
        </w:trPr>
        <w:tc>
          <w:tcPr>
            <w:tcW w:w="0" w:type="auto"/>
            <w:tcBorders>
              <w:top w:val="double" w:sz="4" w:space="0" w:color="17365D"/>
              <w:bottom w:val="double" w:sz="4" w:space="0" w:color="17365D"/>
              <w:right w:val="single" w:sz="8" w:space="0" w:color="FFFFFF"/>
            </w:tcBorders>
            <w:shd w:val="clear" w:color="auto" w:fill="A7BFDE"/>
            <w:noWrap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9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B6DDE8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93 (31 CH+ 6 ULS)</w:t>
            </w:r>
          </w:p>
        </w:tc>
        <w:tc>
          <w:tcPr>
            <w:tcW w:w="1588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800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00" w:type="dxa"/>
            <w:tcBorders>
              <w:top w:val="double" w:sz="4" w:space="0" w:color="17365D"/>
              <w:left w:val="single" w:sz="8" w:space="0" w:color="FFFFFF"/>
              <w:bottom w:val="double" w:sz="4" w:space="0" w:color="17365D"/>
              <w:right w:val="single" w:sz="8" w:space="0" w:color="FFFFFF"/>
            </w:tcBorders>
            <w:shd w:val="clear" w:color="auto" w:fill="DBE5F1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sz w:val="20"/>
                <w:szCs w:val="20"/>
              </w:rPr>
              <w:t>38,7%</w:t>
            </w:r>
          </w:p>
        </w:tc>
        <w:tc>
          <w:tcPr>
            <w:tcW w:w="0" w:type="auto"/>
            <w:tcBorders>
              <w:top w:val="double" w:sz="4" w:space="0" w:color="17365D"/>
              <w:left w:val="single" w:sz="8" w:space="0" w:color="FFFFFF"/>
              <w:bottom w:val="double" w:sz="4" w:space="0" w:color="17365D"/>
            </w:tcBorders>
            <w:shd w:val="clear" w:color="auto" w:fill="A7BFDE"/>
            <w:vAlign w:val="center"/>
          </w:tcPr>
          <w:p w:rsidR="00F04E2B" w:rsidRPr="00BF7B8D" w:rsidRDefault="00F04E2B" w:rsidP="00BD6936">
            <w:pPr>
              <w:spacing w:line="360" w:lineRule="auto"/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BF7B8D">
              <w:rPr>
                <w:rFonts w:ascii="Calibri" w:hAnsi="Calibri" w:cs="Calibri"/>
                <w:bCs/>
                <w:noProof/>
                <w:sz w:val="20"/>
                <w:szCs w:val="20"/>
              </w:rPr>
              <w:t>58,3%</w:t>
            </w:r>
          </w:p>
        </w:tc>
      </w:tr>
    </w:tbl>
    <w:bookmarkEnd w:id="7"/>
    <w:p w:rsidR="00F04E2B" w:rsidRPr="00393BA9" w:rsidRDefault="00F04E2B" w:rsidP="001B243C">
      <w:pPr>
        <w:jc w:val="both"/>
        <w:rPr>
          <w:rFonts w:ascii="Calibri" w:hAnsi="Calibri" w:cs="Calibri"/>
          <w:b/>
          <w:sz w:val="18"/>
          <w:szCs w:val="18"/>
        </w:rPr>
      </w:pPr>
      <w:r w:rsidRPr="00393BA9">
        <w:rPr>
          <w:rFonts w:ascii="Calibri" w:hAnsi="Calibri" w:cs="Calibri"/>
          <w:b/>
          <w:sz w:val="22"/>
          <w:szCs w:val="22"/>
        </w:rPr>
        <w:t>*</w:t>
      </w:r>
      <w:r w:rsidRPr="00393BA9">
        <w:rPr>
          <w:rFonts w:ascii="Calibri" w:hAnsi="Calibri" w:cs="Calibri"/>
          <w:b/>
          <w:sz w:val="18"/>
          <w:szCs w:val="18"/>
        </w:rPr>
        <w:t>No ano do estudo (2011)</w:t>
      </w:r>
      <w:r w:rsidR="00330E91">
        <w:rPr>
          <w:rFonts w:ascii="Calibri" w:hAnsi="Calibri" w:cs="Calibri"/>
          <w:b/>
          <w:sz w:val="18"/>
          <w:szCs w:val="18"/>
        </w:rPr>
        <w:t>,</w:t>
      </w:r>
      <w:r w:rsidRPr="00393BA9">
        <w:rPr>
          <w:rFonts w:ascii="Calibri" w:hAnsi="Calibri" w:cs="Calibri"/>
          <w:b/>
          <w:sz w:val="18"/>
          <w:szCs w:val="18"/>
        </w:rPr>
        <w:t xml:space="preserve"> existiam 32 hospitais Públicos na Região Norte, correspondendo a 12 Centros Hospitalares e 1 ULS (o Hospital Maria Pia encerrou entretanto e foi integrado no CH. do Porto).</w:t>
      </w:r>
    </w:p>
    <w:p w:rsidR="00F04E2B" w:rsidRPr="00393BA9" w:rsidRDefault="00F04E2B" w:rsidP="001B243C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BD6936" w:rsidRDefault="00F04E2B" w:rsidP="00BD6936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Foram registados 2 400 episódios de INCS na população global de </w:t>
      </w:r>
      <w:r w:rsidRPr="00393BA9">
        <w:rPr>
          <w:rFonts w:ascii="Calibri" w:hAnsi="Calibri" w:cs="Calibri"/>
          <w:bCs/>
          <w:sz w:val="22"/>
          <w:szCs w:val="22"/>
        </w:rPr>
        <w:t xml:space="preserve">266 425 </w:t>
      </w:r>
      <w:r w:rsidRPr="00393BA9">
        <w:rPr>
          <w:rFonts w:ascii="Calibri" w:hAnsi="Calibri" w:cs="Calibri"/>
          <w:sz w:val="22"/>
          <w:szCs w:val="22"/>
        </w:rPr>
        <w:t>doentes admitidos (58,4% do género masculino e 41,5% do género feminino), correspondendo a um total de</w:t>
      </w:r>
      <w:r w:rsidRPr="00393BA9">
        <w:rPr>
          <w:rFonts w:ascii="Calibri" w:hAnsi="Calibri" w:cs="Calibri"/>
          <w:b/>
          <w:sz w:val="22"/>
          <w:szCs w:val="22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 xml:space="preserve">1 882 696 dias de internamento. </w:t>
      </w: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BD6936" w:rsidRDefault="00BD6936" w:rsidP="00BD6936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Da população com INCS, 61,2% dos doentes tinham idade superior a 60 anos e, destes, 18,4% dos doentes tinham mais de 80 anos.</w:t>
      </w: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BD6936" w:rsidP="00BD6936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Os doentes com menos de 1 ano corresponderam a 4,1%. O gráfico 1 apresenta a distribuição dos doentes com INCS por género e idade.</w:t>
      </w:r>
      <w:r w:rsidR="00845F0E">
        <w:rPr>
          <w:rFonts w:ascii="Calibri" w:hAnsi="Calibri" w:cs="Calibri"/>
          <w:sz w:val="22"/>
          <w:szCs w:val="22"/>
        </w:rPr>
        <w:t xml:space="preserve"> </w:t>
      </w: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BD6936" w:rsidP="00BD6936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Da população com INCS, 61,2% dos doentes tinham idade superior a 60 anos e, destes, 18,4% dos doentes tinham mais de 80 anos. Os doentes com menos de 1 ano corresponderam a 4,1%. </w:t>
      </w: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BD6936" w:rsidRDefault="00BD6936" w:rsidP="00BD6936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 gráfico 1 apresenta a distribuição dos doentes com INCS por género e idade.</w:t>
      </w: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BD6936">
      <w:pPr>
        <w:jc w:val="both"/>
        <w:rPr>
          <w:rFonts w:ascii="Calibri" w:hAnsi="Calibri" w:cs="Calibri"/>
          <w:sz w:val="22"/>
          <w:szCs w:val="22"/>
        </w:rPr>
      </w:pPr>
    </w:p>
    <w:p w:rsidR="00F04E2B" w:rsidRPr="00FB24EB" w:rsidRDefault="00F04E2B" w:rsidP="0072697A">
      <w:pPr>
        <w:pStyle w:val="Legenda"/>
        <w:spacing w:after="0"/>
        <w:rPr>
          <w:rFonts w:ascii="Calibri" w:hAnsi="Calibri"/>
          <w:sz w:val="20"/>
          <w:szCs w:val="20"/>
        </w:rPr>
      </w:pPr>
      <w:bookmarkStart w:id="8" w:name="_Toc345624969"/>
      <w:r w:rsidRPr="00FB24EB">
        <w:rPr>
          <w:rFonts w:ascii="Calibri" w:hAnsi="Calibri"/>
          <w:sz w:val="20"/>
          <w:szCs w:val="20"/>
        </w:rPr>
        <w:t xml:space="preserve">Gráfico </w:t>
      </w:r>
      <w:r w:rsidR="00657B3F" w:rsidRPr="00FB24EB">
        <w:rPr>
          <w:rFonts w:ascii="Calibri" w:hAnsi="Calibri"/>
          <w:sz w:val="20"/>
          <w:szCs w:val="20"/>
        </w:rPr>
        <w:fldChar w:fldCharType="begin"/>
      </w:r>
      <w:r w:rsidRPr="00FB24EB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FB24EB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1</w:t>
      </w:r>
      <w:r w:rsidR="00657B3F" w:rsidRPr="00FB24EB">
        <w:rPr>
          <w:rFonts w:ascii="Calibri" w:hAnsi="Calibri"/>
          <w:sz w:val="20"/>
          <w:szCs w:val="20"/>
        </w:rPr>
        <w:fldChar w:fldCharType="end"/>
      </w:r>
      <w:r w:rsidRPr="00FB24EB">
        <w:rPr>
          <w:rFonts w:ascii="Calibri" w:hAnsi="Calibri"/>
          <w:sz w:val="20"/>
          <w:szCs w:val="20"/>
        </w:rPr>
        <w:t>:Distribuição dos doentes com INCS por género em cada grupo etário N=2400</w:t>
      </w:r>
      <w:bookmarkEnd w:id="8"/>
    </w:p>
    <w:p w:rsidR="00F04E2B" w:rsidRPr="00393BA9" w:rsidRDefault="00B22526" w:rsidP="001B24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39333" cy="3517781"/>
            <wp:effectExtent l="19050" t="19050" r="28017" b="25519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26" cy="351771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6936" w:rsidRDefault="00BD6936" w:rsidP="00BD6936">
      <w:pPr>
        <w:jc w:val="both"/>
        <w:rPr>
          <w:rFonts w:ascii="Calibri" w:hAnsi="Calibri" w:cs="Calibri"/>
          <w:sz w:val="22"/>
          <w:szCs w:val="22"/>
        </w:rPr>
      </w:pPr>
      <w:bookmarkStart w:id="9" w:name="_Toc345624861"/>
    </w:p>
    <w:p w:rsidR="00BD6936" w:rsidRDefault="00BD6936" w:rsidP="00BD6936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r w:rsidRPr="00393BA9">
        <w:rPr>
          <w:rFonts w:ascii="Calibri" w:hAnsi="Calibri"/>
          <w:color w:val="548DD4"/>
        </w:rPr>
        <w:t>Distribuição dos episódios de INCS por Áreas Assistenciais</w:t>
      </w:r>
      <w:bookmarkEnd w:id="9"/>
      <w:r w:rsidRPr="00393BA9">
        <w:rPr>
          <w:rFonts w:ascii="Calibri" w:hAnsi="Calibri"/>
          <w:color w:val="548DD4"/>
        </w:rPr>
        <w:t xml:space="preserve">      </w: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No gráfico 2 apresenta-se a distribuição percentual dos episódios de INCS por grandes áreas assistenciais/grupos de serviços</w:t>
      </w:r>
      <w:r w:rsidR="0072697A">
        <w:rPr>
          <w:rFonts w:ascii="Calibri" w:hAnsi="Calibri" w:cs="Calibri"/>
          <w:sz w:val="22"/>
          <w:szCs w:val="22"/>
        </w:rPr>
        <w:t xml:space="preserve"> clínicos</w:t>
      </w:r>
      <w:r w:rsidRPr="00393BA9">
        <w:rPr>
          <w:rFonts w:ascii="Calibri" w:hAnsi="Calibri" w:cs="Calibri"/>
          <w:sz w:val="22"/>
          <w:szCs w:val="22"/>
        </w:rPr>
        <w:t>. Cerca de um terço dos episódios (35,4%) ocorreram em Serviços de Medicinas e Especialidades Médicas; 24,6%</w:t>
      </w:r>
      <w:r w:rsidR="0072697A">
        <w:rPr>
          <w:rFonts w:ascii="Calibri" w:hAnsi="Calibri" w:cs="Calibri"/>
          <w:sz w:val="22"/>
          <w:szCs w:val="22"/>
        </w:rPr>
        <w:t xml:space="preserve"> ocorreram </w:t>
      </w:r>
      <w:r w:rsidRPr="00393BA9">
        <w:rPr>
          <w:rFonts w:ascii="Calibri" w:hAnsi="Calibri" w:cs="Calibri"/>
          <w:sz w:val="22"/>
          <w:szCs w:val="22"/>
        </w:rPr>
        <w:t>nas UCI; 19,8% nos Serviços de Cirurgia Geral e Especialidades Cirúrgicas e</w:t>
      </w:r>
      <w:r w:rsidR="0072697A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6,3%</w:t>
      </w:r>
      <w:r w:rsidR="0072697A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em Serviços Pediátricos.</w: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i/>
          <w:sz w:val="22"/>
          <w:szCs w:val="22"/>
        </w:rPr>
      </w:pPr>
    </w:p>
    <w:p w:rsidR="00F04E2B" w:rsidRPr="00FB24EB" w:rsidRDefault="00F04E2B" w:rsidP="0072697A">
      <w:pPr>
        <w:pStyle w:val="Legenda"/>
        <w:spacing w:after="120"/>
        <w:jc w:val="both"/>
        <w:rPr>
          <w:rFonts w:ascii="Calibri" w:hAnsi="Calibri"/>
          <w:sz w:val="20"/>
          <w:szCs w:val="20"/>
        </w:rPr>
      </w:pPr>
      <w:bookmarkStart w:id="10" w:name="_Toc345624970"/>
      <w:r w:rsidRPr="00FB24EB">
        <w:rPr>
          <w:rFonts w:ascii="Calibri" w:hAnsi="Calibri"/>
          <w:sz w:val="20"/>
          <w:szCs w:val="20"/>
        </w:rPr>
        <w:t xml:space="preserve">Gráfico </w:t>
      </w:r>
      <w:r w:rsidR="00657B3F" w:rsidRPr="00FB24EB">
        <w:rPr>
          <w:rFonts w:ascii="Calibri" w:hAnsi="Calibri"/>
          <w:sz w:val="20"/>
          <w:szCs w:val="20"/>
        </w:rPr>
        <w:fldChar w:fldCharType="begin"/>
      </w:r>
      <w:r w:rsidRPr="00FB24EB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FB24EB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2</w:t>
      </w:r>
      <w:r w:rsidR="00657B3F" w:rsidRPr="00FB24EB">
        <w:rPr>
          <w:rFonts w:ascii="Calibri" w:hAnsi="Calibri"/>
          <w:sz w:val="20"/>
          <w:szCs w:val="20"/>
        </w:rPr>
        <w:fldChar w:fldCharType="end"/>
      </w:r>
      <w:r w:rsidRPr="00FB24EB">
        <w:rPr>
          <w:rFonts w:ascii="Calibri" w:hAnsi="Calibri"/>
          <w:sz w:val="20"/>
          <w:szCs w:val="20"/>
        </w:rPr>
        <w:t>: Distribuição dos episódios de INCS por áreas assistenciais (grupos de serviços) N=2400</w:t>
      </w:r>
      <w:bookmarkEnd w:id="10"/>
    </w:p>
    <w:p w:rsidR="00F04E2B" w:rsidRPr="00393BA9" w:rsidRDefault="00B22526" w:rsidP="001B243C">
      <w:pPr>
        <w:pStyle w:val="Corpodetexto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t-PT"/>
        </w:rPr>
        <w:drawing>
          <wp:inline distT="0" distB="0" distL="0" distR="0">
            <wp:extent cx="5783832" cy="3017448"/>
            <wp:effectExtent l="19050" t="19050" r="26418" b="11502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1632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4E2B" w:rsidRPr="00393BA9" w:rsidRDefault="00F04E2B" w:rsidP="001B243C">
      <w:pPr>
        <w:pStyle w:val="Ttulo2"/>
        <w:rPr>
          <w:rFonts w:ascii="Calibri" w:hAnsi="Calibri"/>
          <w:color w:val="548DD4"/>
          <w:szCs w:val="22"/>
        </w:rPr>
      </w:pPr>
      <w:bookmarkStart w:id="11" w:name="_Toc345624862"/>
      <w:r w:rsidRPr="00393BA9">
        <w:rPr>
          <w:rFonts w:ascii="Calibri" w:hAnsi="Calibri"/>
          <w:color w:val="548DD4"/>
          <w:szCs w:val="22"/>
        </w:rPr>
        <w:lastRenderedPageBreak/>
        <w:t>Fatores de Risco para a Infeção Nosocomial da Corrente Sanguínea</w:t>
      </w:r>
      <w:bookmarkEnd w:id="11"/>
    </w:p>
    <w:p w:rsidR="00F04E2B" w:rsidRPr="00393BA9" w:rsidRDefault="00F04E2B" w:rsidP="001B243C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Os fatores de risco extrínseco mais frequentes nos doentes com INCS foram a presença de CVC (56,3%); a nutrição parentérica (11,5%) e a hemodiálise (5,6%). No que se refere aos fatores de risco intrínseco, a neoplasia </w:t>
      </w:r>
      <w:r w:rsidR="00AA02F3">
        <w:rPr>
          <w:rFonts w:ascii="Calibri" w:hAnsi="Calibri" w:cs="Calibri"/>
          <w:sz w:val="22"/>
          <w:szCs w:val="22"/>
        </w:rPr>
        <w:t>foi assinalada em 44</w:t>
      </w:r>
      <w:r w:rsidRPr="00393BA9">
        <w:rPr>
          <w:rFonts w:ascii="Calibri" w:hAnsi="Calibri" w:cs="Calibri"/>
          <w:sz w:val="22"/>
          <w:szCs w:val="22"/>
        </w:rPr>
        <w:t xml:space="preserve">% </w:t>
      </w:r>
      <w:r w:rsidR="0072751F">
        <w:rPr>
          <w:rFonts w:ascii="Calibri" w:hAnsi="Calibri" w:cs="Calibri"/>
          <w:sz w:val="22"/>
          <w:szCs w:val="22"/>
        </w:rPr>
        <w:t>dos doentes com INCS</w:t>
      </w:r>
      <w:r w:rsidR="00AA02F3">
        <w:rPr>
          <w:rFonts w:ascii="Calibri" w:hAnsi="Calibri" w:cs="Calibri"/>
          <w:sz w:val="22"/>
          <w:szCs w:val="22"/>
        </w:rPr>
        <w:t xml:space="preserve"> (das quais, </w:t>
      </w:r>
      <w:r w:rsidR="00AA02F3" w:rsidRPr="00393BA9">
        <w:rPr>
          <w:rFonts w:ascii="Calibri" w:hAnsi="Calibri" w:cs="Calibri"/>
          <w:sz w:val="22"/>
          <w:szCs w:val="22"/>
        </w:rPr>
        <w:t>leucemia/linfoma em 13%</w:t>
      </w:r>
      <w:r w:rsidR="00AA02F3">
        <w:rPr>
          <w:rFonts w:ascii="Calibri" w:hAnsi="Calibri" w:cs="Calibri"/>
          <w:sz w:val="22"/>
          <w:szCs w:val="22"/>
        </w:rPr>
        <w:t>)</w:t>
      </w:r>
      <w:r w:rsidR="0072751F">
        <w:rPr>
          <w:rFonts w:ascii="Calibri" w:hAnsi="Calibri" w:cs="Calibri"/>
          <w:sz w:val="22"/>
          <w:szCs w:val="22"/>
        </w:rPr>
        <w:t xml:space="preserve">, a </w:t>
      </w:r>
      <w:r w:rsidR="000951C7">
        <w:rPr>
          <w:rFonts w:ascii="Calibri" w:hAnsi="Calibri" w:cs="Calibri"/>
          <w:sz w:val="22"/>
          <w:szCs w:val="22"/>
        </w:rPr>
        <w:t>n</w:t>
      </w:r>
      <w:r w:rsidR="0072751F">
        <w:rPr>
          <w:rFonts w:ascii="Calibri" w:hAnsi="Calibri" w:cs="Calibri"/>
          <w:sz w:val="22"/>
          <w:szCs w:val="22"/>
        </w:rPr>
        <w:t>eutrope</w:t>
      </w:r>
      <w:r w:rsidRPr="00393BA9">
        <w:rPr>
          <w:rFonts w:ascii="Calibri" w:hAnsi="Calibri" w:cs="Calibri"/>
          <w:sz w:val="22"/>
          <w:szCs w:val="22"/>
        </w:rPr>
        <w:t xml:space="preserve">nia em </w:t>
      </w:r>
      <w:r w:rsidR="00AA02F3">
        <w:rPr>
          <w:rFonts w:ascii="Calibri" w:hAnsi="Calibri" w:cs="Calibri"/>
          <w:sz w:val="22"/>
          <w:szCs w:val="22"/>
        </w:rPr>
        <w:t>17%, a diabetes em 20</w:t>
      </w:r>
      <w:r w:rsidRPr="00393BA9">
        <w:rPr>
          <w:rFonts w:ascii="Calibri" w:hAnsi="Calibri" w:cs="Calibri"/>
          <w:sz w:val="22"/>
          <w:szCs w:val="22"/>
        </w:rPr>
        <w:t>%</w:t>
      </w:r>
      <w:r w:rsidR="000951C7">
        <w:rPr>
          <w:rFonts w:ascii="Calibri" w:hAnsi="Calibri" w:cs="Calibri"/>
          <w:sz w:val="22"/>
          <w:szCs w:val="22"/>
        </w:rPr>
        <w:t xml:space="preserve"> e </w:t>
      </w:r>
      <w:r w:rsidRPr="00393BA9">
        <w:rPr>
          <w:rFonts w:ascii="Calibri" w:hAnsi="Calibri" w:cs="Calibri"/>
          <w:sz w:val="22"/>
          <w:szCs w:val="22"/>
        </w:rPr>
        <w:t xml:space="preserve">as restantes situações de Imunossupressão em 28% dos doentes. </w:t>
      </w:r>
    </w:p>
    <w:p w:rsidR="00F04E2B" w:rsidRPr="00C671D5" w:rsidRDefault="00F04E2B" w:rsidP="00141DA7">
      <w:pPr>
        <w:pStyle w:val="Legenda"/>
        <w:rPr>
          <w:rFonts w:ascii="Calibri" w:hAnsi="Calibri" w:cs="Calibri"/>
          <w:sz w:val="20"/>
          <w:szCs w:val="20"/>
        </w:rPr>
      </w:pPr>
      <w:bookmarkStart w:id="12" w:name="_Toc345624971"/>
      <w:r w:rsidRPr="00C671D5">
        <w:rPr>
          <w:rFonts w:ascii="Calibri" w:hAnsi="Calibri"/>
          <w:sz w:val="20"/>
          <w:szCs w:val="20"/>
        </w:rPr>
        <w:t xml:space="preserve">Gráfico </w:t>
      </w:r>
      <w:r w:rsidR="00657B3F" w:rsidRPr="00C671D5">
        <w:rPr>
          <w:rFonts w:ascii="Calibri" w:hAnsi="Calibri"/>
          <w:sz w:val="20"/>
          <w:szCs w:val="20"/>
        </w:rPr>
        <w:fldChar w:fldCharType="begin"/>
      </w:r>
      <w:r w:rsidRPr="00C671D5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C671D5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3</w:t>
      </w:r>
      <w:r w:rsidR="00657B3F" w:rsidRPr="00C671D5">
        <w:rPr>
          <w:rFonts w:ascii="Calibri" w:hAnsi="Calibri"/>
          <w:sz w:val="20"/>
          <w:szCs w:val="20"/>
        </w:rPr>
        <w:fldChar w:fldCharType="end"/>
      </w:r>
      <w:r w:rsidRPr="00C671D5">
        <w:rPr>
          <w:rFonts w:ascii="Calibri" w:hAnsi="Calibri"/>
          <w:sz w:val="20"/>
          <w:szCs w:val="20"/>
        </w:rPr>
        <w:t xml:space="preserve">: </w:t>
      </w:r>
      <w:r w:rsidRPr="00C671D5">
        <w:rPr>
          <w:rFonts w:ascii="Calibri" w:hAnsi="Calibri" w:cs="Calibri"/>
          <w:sz w:val="20"/>
          <w:szCs w:val="20"/>
        </w:rPr>
        <w:t>Distribuição dos fatores de risco extrínseco e intrínseco na população com INCS</w:t>
      </w:r>
      <w:bookmarkEnd w:id="12"/>
    </w:p>
    <w:p w:rsidR="00F53058" w:rsidRDefault="00CD72C7" w:rsidP="001B243C">
      <w:pPr>
        <w:pStyle w:val="Corpodetexto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</w:t>
      </w:r>
      <w:r w:rsidR="00F04E2B" w:rsidRPr="00393BA9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                </w:t>
      </w:r>
      <w:r w:rsidR="00F04E2B" w:rsidRPr="00393BA9">
        <w:rPr>
          <w:rFonts w:ascii="Calibri" w:hAnsi="Calibri" w:cs="Calibri"/>
          <w:b/>
          <w:sz w:val="20"/>
        </w:rPr>
        <w:t xml:space="preserve"> FRE - N=6015             </w:t>
      </w:r>
      <w:r>
        <w:rPr>
          <w:rFonts w:ascii="Calibri" w:hAnsi="Calibri" w:cs="Calibri"/>
          <w:b/>
          <w:sz w:val="20"/>
        </w:rPr>
        <w:t xml:space="preserve">       </w:t>
      </w:r>
      <w:r w:rsidR="00F04E2B" w:rsidRPr="00393BA9">
        <w:rPr>
          <w:rFonts w:ascii="Calibri" w:hAnsi="Calibri" w:cs="Calibri"/>
          <w:b/>
          <w:sz w:val="20"/>
        </w:rPr>
        <w:t xml:space="preserve">                                    </w:t>
      </w:r>
      <w:r>
        <w:rPr>
          <w:rFonts w:ascii="Calibri" w:hAnsi="Calibri" w:cs="Calibri"/>
          <w:b/>
          <w:sz w:val="20"/>
        </w:rPr>
        <w:t xml:space="preserve"> </w:t>
      </w:r>
      <w:r w:rsidR="00F04E2B" w:rsidRPr="00393BA9">
        <w:rPr>
          <w:rFonts w:ascii="Calibri" w:hAnsi="Calibri" w:cs="Calibri"/>
          <w:b/>
          <w:sz w:val="20"/>
        </w:rPr>
        <w:t xml:space="preserve">                </w:t>
      </w:r>
      <w:r w:rsidR="00C671D5">
        <w:rPr>
          <w:rFonts w:ascii="Calibri" w:hAnsi="Calibri" w:cs="Calibri"/>
          <w:b/>
          <w:sz w:val="20"/>
        </w:rPr>
        <w:t xml:space="preserve">                   </w:t>
      </w:r>
      <w:r w:rsidR="00F04E2B" w:rsidRPr="00393BA9">
        <w:rPr>
          <w:rFonts w:ascii="Calibri" w:hAnsi="Calibri" w:cs="Calibri"/>
          <w:b/>
          <w:sz w:val="20"/>
        </w:rPr>
        <w:t>FRI - N=3225</w:t>
      </w:r>
    </w:p>
    <w:p w:rsidR="00F04E2B" w:rsidRPr="00393BA9" w:rsidRDefault="00657B3F" w:rsidP="001B243C">
      <w:pPr>
        <w:pStyle w:val="Corpodetexto3"/>
        <w:rPr>
          <w:rFonts w:ascii="Calibri" w:hAnsi="Calibri" w:cs="Calibri"/>
          <w:b/>
          <w:color w:val="365F91"/>
          <w:sz w:val="22"/>
          <w:szCs w:val="22"/>
        </w:rPr>
      </w:pPr>
      <w:r>
        <w:rPr>
          <w:rFonts w:ascii="Calibri" w:hAnsi="Calibri" w:cs="Calibri"/>
          <w:b/>
          <w:noProof/>
          <w:color w:val="365F91"/>
          <w:sz w:val="22"/>
          <w:szCs w:val="22"/>
          <w:lang w:eastAsia="pt-PT"/>
        </w:rPr>
        <w:pict>
          <v:rect id="_x0000_s1042" style="position:absolute;left:0;text-align:left;margin-left:267.35pt;margin-top:.9pt;width:228.75pt;height:209.6pt;z-index:251660288" strokecolor="#002060">
            <v:textbox style="mso-next-textbox:#_x0000_s1042">
              <w:txbxContent>
                <w:p w:rsidR="009F7B73" w:rsidRDefault="009F7B73">
                  <w:r w:rsidRPr="004B66A0">
                    <w:rPr>
                      <w:noProof/>
                    </w:rPr>
                    <w:drawing>
                      <wp:inline distT="0" distB="0" distL="0" distR="0">
                        <wp:extent cx="2714625" cy="2486025"/>
                        <wp:effectExtent l="19050" t="0" r="0" b="0"/>
                        <wp:docPr id="24" name="Gráfico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alibri" w:hAnsi="Calibri" w:cs="Calibri"/>
          <w:b/>
          <w:noProof/>
          <w:color w:val="365F91"/>
          <w:sz w:val="22"/>
          <w:szCs w:val="22"/>
          <w:lang w:eastAsia="pt-PT"/>
        </w:rPr>
        <w:pict>
          <v:rect id="_x0000_s1043" style="position:absolute;left:0;text-align:left;margin-left:-.4pt;margin-top:.9pt;width:273.75pt;height:209.6pt;z-index:251661312" strokecolor="#002060">
            <v:textbox style="mso-next-textbox:#_x0000_s1043">
              <w:txbxContent>
                <w:p w:rsidR="009F7B73" w:rsidRDefault="009F7B73">
                  <w:r w:rsidRPr="00F53058">
                    <w:rPr>
                      <w:noProof/>
                    </w:rPr>
                    <w:drawing>
                      <wp:inline distT="0" distB="0" distL="0" distR="0">
                        <wp:extent cx="3790950" cy="2628900"/>
                        <wp:effectExtent l="19050" t="19050" r="19050" b="19050"/>
                        <wp:docPr id="21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8512" cy="2627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color w:val="365F91"/>
          <w:sz w:val="22"/>
          <w:szCs w:val="22"/>
        </w:rPr>
      </w:pPr>
      <w:r w:rsidRPr="00393BA9">
        <w:rPr>
          <w:rFonts w:ascii="Calibri" w:hAnsi="Calibri" w:cs="Calibri"/>
          <w:b/>
          <w:color w:val="365F91"/>
          <w:sz w:val="22"/>
          <w:szCs w:val="22"/>
        </w:rPr>
        <w:t>Proporção e Densidade de incidência de INCS por grupos de Serviços/Áreas Assistenciais</w:t>
      </w: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0951C7" w:rsidRDefault="000951C7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C671D5" w:rsidRDefault="00C671D5" w:rsidP="001B243C">
      <w:pPr>
        <w:pStyle w:val="Corpodetexto3"/>
        <w:rPr>
          <w:rFonts w:ascii="Calibri" w:hAnsi="Calibri" w:cs="Calibri"/>
          <w:sz w:val="22"/>
          <w:szCs w:val="22"/>
        </w:rPr>
      </w:pPr>
    </w:p>
    <w:p w:rsidR="007776E3" w:rsidRDefault="007776E3" w:rsidP="00BD6936">
      <w:pPr>
        <w:pStyle w:val="Ttulo2"/>
        <w:rPr>
          <w:rFonts w:ascii="Calibri" w:hAnsi="Calibri"/>
          <w:color w:val="548DD4"/>
        </w:rPr>
      </w:pPr>
    </w:p>
    <w:p w:rsidR="00C671D5" w:rsidRPr="000951C7" w:rsidRDefault="000951C7" w:rsidP="00BD6936">
      <w:pPr>
        <w:pStyle w:val="Ttulo2"/>
        <w:rPr>
          <w:rFonts w:ascii="Calibri" w:hAnsi="Calibri"/>
          <w:color w:val="548DD4"/>
        </w:rPr>
      </w:pPr>
      <w:r w:rsidRPr="000951C7">
        <w:rPr>
          <w:rFonts w:ascii="Calibri" w:hAnsi="Calibri"/>
          <w:color w:val="548DD4"/>
        </w:rPr>
        <w:t>Proporção e Densidade de incidência de INCS</w:t>
      </w:r>
    </w:p>
    <w:p w:rsidR="00F04E2B" w:rsidRPr="00393BA9" w:rsidRDefault="00F04E2B" w:rsidP="00BD6936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Os serviços/áreas assistenciais com proporção e densidade de INCS mais elevadas, foram os seguintes:</w:t>
      </w:r>
    </w:p>
    <w:p w:rsidR="00F04E2B" w:rsidRPr="00393BA9" w:rsidRDefault="00F04E2B" w:rsidP="00BD6936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Hematologia/Oncologia Pediátrica, UCI Polivalentes, Hematologia/Oncologia de adultos (Tabela 2).</w:t>
      </w:r>
    </w:p>
    <w:p w:rsidR="00F04E2B" w:rsidRPr="00FB24EB" w:rsidRDefault="00F04E2B" w:rsidP="000951C7">
      <w:pPr>
        <w:pStyle w:val="Legenda"/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13" w:name="_Toc345624924"/>
      <w:r w:rsidRPr="00FB24EB">
        <w:rPr>
          <w:rFonts w:ascii="Calibri" w:hAnsi="Calibri"/>
          <w:sz w:val="20"/>
          <w:szCs w:val="20"/>
        </w:rPr>
        <w:t xml:space="preserve">Tabela </w:t>
      </w:r>
      <w:r w:rsidR="00657B3F" w:rsidRPr="00FB24EB">
        <w:rPr>
          <w:rFonts w:ascii="Calibri" w:hAnsi="Calibri"/>
          <w:sz w:val="20"/>
          <w:szCs w:val="20"/>
        </w:rPr>
        <w:fldChar w:fldCharType="begin"/>
      </w:r>
      <w:r w:rsidRPr="00FB24EB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FB24EB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2</w:t>
      </w:r>
      <w:r w:rsidR="00657B3F" w:rsidRPr="00FB24EB">
        <w:rPr>
          <w:rFonts w:ascii="Calibri" w:hAnsi="Calibri"/>
          <w:sz w:val="20"/>
          <w:szCs w:val="20"/>
        </w:rPr>
        <w:fldChar w:fldCharType="end"/>
      </w:r>
      <w:r w:rsidRPr="00FB24EB">
        <w:rPr>
          <w:rFonts w:ascii="Calibri" w:hAnsi="Calibri"/>
          <w:sz w:val="20"/>
          <w:szCs w:val="20"/>
        </w:rPr>
        <w:t xml:space="preserve">: </w:t>
      </w:r>
      <w:r w:rsidRPr="00FB24EB">
        <w:rPr>
          <w:rFonts w:ascii="Calibri" w:hAnsi="Calibri" w:cs="Calibri"/>
          <w:sz w:val="20"/>
          <w:szCs w:val="20"/>
        </w:rPr>
        <w:t>Proporção e Densidade de incidência de INCS por grupos de Serviços N=2316</w:t>
      </w:r>
      <w:bookmarkEnd w:id="13"/>
      <w:r w:rsidRPr="00FB24EB">
        <w:rPr>
          <w:rFonts w:ascii="Calibri" w:hAnsi="Calibri" w:cs="Calibri"/>
          <w:color w:val="000000"/>
          <w:sz w:val="20"/>
          <w:szCs w:val="20"/>
        </w:rPr>
        <w:t xml:space="preserve"> </w:t>
      </w:r>
    </w:p>
    <w:tbl>
      <w:tblPr>
        <w:tblW w:w="9951" w:type="dxa"/>
        <w:jc w:val="center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2660"/>
        <w:gridCol w:w="926"/>
        <w:gridCol w:w="1214"/>
        <w:gridCol w:w="1250"/>
        <w:gridCol w:w="1598"/>
        <w:gridCol w:w="2303"/>
      </w:tblGrid>
      <w:tr w:rsidR="00F04E2B" w:rsidRPr="00CD72C7" w:rsidTr="00BD6936">
        <w:trPr>
          <w:trHeight w:val="293"/>
          <w:jc w:val="center"/>
        </w:trPr>
        <w:tc>
          <w:tcPr>
            <w:tcW w:w="2660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Grupos de Serviços</w:t>
            </w:r>
          </w:p>
        </w:tc>
        <w:tc>
          <w:tcPr>
            <w:tcW w:w="926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N.º INCS</w:t>
            </w:r>
          </w:p>
        </w:tc>
        <w:tc>
          <w:tcPr>
            <w:tcW w:w="1214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Doentes admitidos</w:t>
            </w:r>
          </w:p>
        </w:tc>
        <w:tc>
          <w:tcPr>
            <w:tcW w:w="1250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Proporção INCS (%)</w:t>
            </w:r>
          </w:p>
        </w:tc>
        <w:tc>
          <w:tcPr>
            <w:tcW w:w="1598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Dias de internamento</w:t>
            </w:r>
          </w:p>
        </w:tc>
        <w:tc>
          <w:tcPr>
            <w:tcW w:w="2303" w:type="dxa"/>
            <w:vMerge w:val="restart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Densidade Incidência INCS (‰)</w:t>
            </w:r>
          </w:p>
        </w:tc>
      </w:tr>
      <w:tr w:rsidR="00F04E2B" w:rsidRPr="00CD72C7" w:rsidTr="00BD6936">
        <w:trPr>
          <w:trHeight w:val="244"/>
          <w:jc w:val="center"/>
        </w:trPr>
        <w:tc>
          <w:tcPr>
            <w:tcW w:w="2660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double" w:sz="4" w:space="0" w:color="17365D"/>
            </w:tcBorders>
            <w:shd w:val="pct20" w:color="000000" w:fill="FFFFFF"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Hematol.ª/Oncol.ª Ped.ª</w:t>
            </w:r>
          </w:p>
        </w:tc>
        <w:tc>
          <w:tcPr>
            <w:tcW w:w="926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4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250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598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7319</w:t>
            </w:r>
          </w:p>
        </w:tc>
        <w:tc>
          <w:tcPr>
            <w:tcW w:w="2303" w:type="dxa"/>
            <w:tcBorders>
              <w:top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7,5‰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UCI Polivalente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7199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44251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7,1‰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Hematologia/Oncologia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7580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66418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4,7‰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Outras UCI’s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11941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57724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4,2‰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Outros Serviços Ped.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27670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2,7‰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UCI Pediátricas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2,2‰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Medicina Interna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70502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637997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1,0‰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Especial. Médicas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30799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208002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1,0‰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Cirurgia Geral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53731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306804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0,9‰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Especial. Cirúrgicas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42265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308590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0,6‰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Pediatria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44599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0,2‰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Outros Serviços</w:t>
            </w:r>
          </w:p>
        </w:tc>
        <w:tc>
          <w:tcPr>
            <w:tcW w:w="926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250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598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95091</w:t>
            </w:r>
          </w:p>
        </w:tc>
        <w:tc>
          <w:tcPr>
            <w:tcW w:w="2303" w:type="dxa"/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0,1‰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Ginecologia</w:t>
            </w:r>
          </w:p>
        </w:tc>
        <w:tc>
          <w:tcPr>
            <w:tcW w:w="926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7360</w:t>
            </w:r>
          </w:p>
        </w:tc>
        <w:tc>
          <w:tcPr>
            <w:tcW w:w="1250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1598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26979</w:t>
            </w:r>
          </w:p>
        </w:tc>
        <w:tc>
          <w:tcPr>
            <w:tcW w:w="2303" w:type="dxa"/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0,1‰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CD72C7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Obstetrícia</w:t>
            </w:r>
          </w:p>
        </w:tc>
        <w:tc>
          <w:tcPr>
            <w:tcW w:w="926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250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598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46312</w:t>
            </w:r>
          </w:p>
        </w:tc>
        <w:tc>
          <w:tcPr>
            <w:tcW w:w="2303" w:type="dxa"/>
            <w:tcBorders>
              <w:bottom w:val="double" w:sz="4" w:space="0" w:color="17365D"/>
            </w:tcBorders>
            <w:shd w:val="pct20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color w:val="000000"/>
                <w:sz w:val="20"/>
                <w:szCs w:val="20"/>
              </w:rPr>
              <w:t>0,004‰</w:t>
            </w:r>
          </w:p>
        </w:tc>
      </w:tr>
      <w:tr w:rsidR="00F04E2B" w:rsidRPr="00CD72C7" w:rsidTr="00BD6936">
        <w:trPr>
          <w:trHeight w:val="255"/>
          <w:jc w:val="center"/>
        </w:trPr>
        <w:tc>
          <w:tcPr>
            <w:tcW w:w="2660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6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214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266 425</w:t>
            </w:r>
          </w:p>
        </w:tc>
        <w:tc>
          <w:tcPr>
            <w:tcW w:w="1250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0,87%</w:t>
            </w:r>
          </w:p>
        </w:tc>
        <w:tc>
          <w:tcPr>
            <w:tcW w:w="1598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1 882 696</w:t>
            </w:r>
          </w:p>
        </w:tc>
        <w:tc>
          <w:tcPr>
            <w:tcW w:w="2303" w:type="dxa"/>
            <w:tcBorders>
              <w:top w:val="double" w:sz="4" w:space="0" w:color="17365D"/>
              <w:bottom w:val="double" w:sz="4" w:space="0" w:color="17365D"/>
            </w:tcBorders>
            <w:shd w:val="pct5" w:color="000000" w:fill="FFFFFF"/>
            <w:noWrap/>
            <w:vAlign w:val="center"/>
          </w:tcPr>
          <w:p w:rsidR="00F04E2B" w:rsidRPr="00CD72C7" w:rsidRDefault="00F04E2B" w:rsidP="002C684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CD72C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1,2‰</w:t>
            </w:r>
          </w:p>
        </w:tc>
      </w:tr>
    </w:tbl>
    <w:p w:rsidR="00F346F4" w:rsidRDefault="00F346F4" w:rsidP="001B243C">
      <w:pPr>
        <w:pStyle w:val="Ttulo2"/>
        <w:rPr>
          <w:rFonts w:ascii="Calibri" w:hAnsi="Calibri"/>
          <w:color w:val="548DD4"/>
        </w:rPr>
      </w:pPr>
      <w:bookmarkStart w:id="14" w:name="_Toc345624863"/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r w:rsidRPr="00393BA9">
        <w:rPr>
          <w:rFonts w:ascii="Calibri" w:hAnsi="Calibri"/>
          <w:color w:val="548DD4"/>
        </w:rPr>
        <w:t>O</w:t>
      </w:r>
      <w:bookmarkStart w:id="15" w:name="OLE_LINK7"/>
      <w:r w:rsidRPr="00393BA9">
        <w:rPr>
          <w:rFonts w:ascii="Calibri" w:hAnsi="Calibri"/>
          <w:color w:val="548DD4"/>
        </w:rPr>
        <w:t>rigens prováveis das INCS por Áreas Assistenciais</w:t>
      </w:r>
      <w:bookmarkEnd w:id="14"/>
      <w:bookmarkEnd w:id="15"/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93BA9">
        <w:rPr>
          <w:rFonts w:ascii="Calibri" w:hAnsi="Calibri" w:cs="Calibri"/>
          <w:color w:val="000000"/>
          <w:sz w:val="22"/>
          <w:szCs w:val="22"/>
        </w:rPr>
        <w:t xml:space="preserve">Mais de metade dos episódios de </w:t>
      </w:r>
      <w:r w:rsidRPr="008A0489">
        <w:rPr>
          <w:rFonts w:ascii="Calibri" w:hAnsi="Calibri" w:cs="Calibri"/>
          <w:color w:val="000000"/>
          <w:sz w:val="22"/>
          <w:szCs w:val="22"/>
        </w:rPr>
        <w:t xml:space="preserve">INCS (59,2%) foram de origem primária, </w:t>
      </w:r>
      <w:r w:rsidR="008A0489" w:rsidRPr="008A0489">
        <w:rPr>
          <w:rFonts w:ascii="Calibri" w:hAnsi="Calibri" w:cs="Calibri"/>
          <w:color w:val="000000"/>
          <w:sz w:val="22"/>
          <w:szCs w:val="22"/>
        </w:rPr>
        <w:t>incluindo</w:t>
      </w:r>
      <w:r w:rsidRPr="008A0489">
        <w:rPr>
          <w:rFonts w:ascii="Calibri" w:hAnsi="Calibri" w:cs="Calibri"/>
          <w:color w:val="000000"/>
          <w:sz w:val="22"/>
          <w:szCs w:val="22"/>
        </w:rPr>
        <w:t xml:space="preserve"> 19,7%</w:t>
      </w:r>
      <w:r w:rsidRPr="00393BA9">
        <w:rPr>
          <w:rFonts w:ascii="Calibri" w:hAnsi="Calibri" w:cs="Calibri"/>
          <w:color w:val="000000"/>
          <w:sz w:val="22"/>
          <w:szCs w:val="22"/>
        </w:rPr>
        <w:t xml:space="preserve"> associados ao CVC. As INCS secundárias a infeção noutro local corresponderam a 40,8%. </w:t>
      </w:r>
    </w:p>
    <w:p w:rsidR="0059748A" w:rsidRDefault="0059748A" w:rsidP="00141DA7">
      <w:pPr>
        <w:pStyle w:val="Legenda"/>
        <w:rPr>
          <w:rFonts w:ascii="Calibri" w:hAnsi="Calibri"/>
          <w:sz w:val="20"/>
          <w:szCs w:val="20"/>
        </w:rPr>
      </w:pPr>
      <w:bookmarkStart w:id="16" w:name="_Toc345624972"/>
    </w:p>
    <w:p w:rsidR="00F04E2B" w:rsidRPr="00FB24EB" w:rsidRDefault="00F04E2B" w:rsidP="00141DA7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FB24EB">
        <w:rPr>
          <w:rFonts w:ascii="Calibri" w:hAnsi="Calibri"/>
          <w:sz w:val="20"/>
          <w:szCs w:val="20"/>
        </w:rPr>
        <w:t xml:space="preserve">Gráfico </w:t>
      </w:r>
      <w:r w:rsidR="00657B3F" w:rsidRPr="00FB24EB">
        <w:rPr>
          <w:rFonts w:ascii="Calibri" w:hAnsi="Calibri"/>
          <w:sz w:val="20"/>
          <w:szCs w:val="20"/>
        </w:rPr>
        <w:fldChar w:fldCharType="begin"/>
      </w:r>
      <w:r w:rsidRPr="00FB24EB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FB24EB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4</w:t>
      </w:r>
      <w:r w:rsidR="00657B3F" w:rsidRPr="00FB24EB">
        <w:rPr>
          <w:rFonts w:ascii="Calibri" w:hAnsi="Calibri"/>
          <w:sz w:val="20"/>
          <w:szCs w:val="20"/>
        </w:rPr>
        <w:fldChar w:fldCharType="end"/>
      </w:r>
      <w:r w:rsidRPr="00FB24EB">
        <w:rPr>
          <w:rFonts w:ascii="Calibri" w:hAnsi="Calibri"/>
          <w:sz w:val="20"/>
          <w:szCs w:val="20"/>
        </w:rPr>
        <w:t>: Distribuição das INCS por origem provável</w:t>
      </w:r>
      <w:bookmarkEnd w:id="16"/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93BA9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</w:t>
      </w:r>
      <w:r w:rsidRPr="00393BA9">
        <w:rPr>
          <w:rFonts w:ascii="Calibri" w:hAnsi="Calibri" w:cs="Calibri"/>
          <w:b/>
          <w:color w:val="000000"/>
          <w:sz w:val="18"/>
          <w:szCs w:val="18"/>
        </w:rPr>
        <w:t xml:space="preserve">Total de INCS  N=2040                                                         INCS Secundárias  N=1526                                                                             </w:t>
      </w:r>
    </w:p>
    <w:p w:rsidR="00F81BB6" w:rsidRDefault="00B22526" w:rsidP="00F81BB6">
      <w:pPr>
        <w:widowControl w:val="0"/>
        <w:tabs>
          <w:tab w:val="center" w:pos="411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63A0E">
        <w:rPr>
          <w:rFonts w:ascii="Calibri" w:hAnsi="Calibri" w:cs="Calibri"/>
          <w:b/>
          <w:noProof/>
          <w:color w:val="000000"/>
          <w:sz w:val="22"/>
          <w:szCs w:val="22"/>
          <w:bdr w:val="single" w:sz="4" w:space="0" w:color="auto"/>
        </w:rPr>
        <w:drawing>
          <wp:inline distT="0" distB="0" distL="0" distR="0">
            <wp:extent cx="2676525" cy="2343150"/>
            <wp:effectExtent l="19050" t="0" r="9525" b="0"/>
            <wp:docPr id="5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2962251" cy="2337759"/>
            <wp:effectExtent l="19050" t="0" r="9549" b="5391"/>
            <wp:docPr id="6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17" w:name="_Toc345624864"/>
    </w:p>
    <w:p w:rsidR="00F81BB6" w:rsidRPr="00F81BB6" w:rsidRDefault="00F81BB6" w:rsidP="00F81BB6">
      <w:pPr>
        <w:widowControl w:val="0"/>
        <w:tabs>
          <w:tab w:val="center" w:pos="411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B24EB" w:rsidRDefault="00FB24EB" w:rsidP="001B243C">
      <w:pPr>
        <w:pStyle w:val="Ttulo2"/>
        <w:rPr>
          <w:rFonts w:ascii="Calibri" w:hAnsi="Calibri"/>
          <w:color w:val="548DD4"/>
        </w:rPr>
      </w:pPr>
    </w:p>
    <w:p w:rsidR="00263A0E" w:rsidRPr="00263A0E" w:rsidRDefault="00263A0E" w:rsidP="00263A0E">
      <w:pPr>
        <w:rPr>
          <w:lang w:eastAsia="en-US"/>
        </w:rPr>
      </w:pP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r w:rsidRPr="00393BA9">
        <w:rPr>
          <w:rFonts w:ascii="Calibri" w:hAnsi="Calibri"/>
          <w:color w:val="548DD4"/>
        </w:rPr>
        <w:t>Origens prováveis das INCS por Áreas Assistenciais</w:t>
      </w:r>
      <w:bookmarkEnd w:id="17"/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 w:rsidRPr="00393BA9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INCS primárias ou de origem não identificada foram predominantes nos serviços de Medicina Interna, Hematologia/Oncologia e  UCI.  </w:t>
      </w:r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As INCS associadas a CVC foram mais frequentes nas UCI, seguido de Hematologia/Oncologia de adultos, da Cirurgia Geral/Especialidades Cirúrgicas e Medicina Interna/Especialidades Médicas. </w:t>
      </w:r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 w:rsidRPr="00393BA9">
        <w:rPr>
          <w:rFonts w:ascii="Calibri" w:hAnsi="Calibri" w:cs="Calibri"/>
          <w:noProof/>
          <w:color w:val="000000"/>
          <w:sz w:val="22"/>
          <w:szCs w:val="22"/>
        </w:rPr>
        <w:t xml:space="preserve">As  INCS secundárias a infeções das vias respiratórias foram predominantes nos Serviços de Medicina (40,4%), UCI polivalentes (24%) e outras UCI (9,8%); nos Serviços de Hematologia predominaram as infeções do aparelho gastrintestinal (41,7%). Dos doentes com INCS secundárias a infeção do local cirúrgico, 59,2% estavam internados em Serviços Cirúrgicos e 28,9% em UCI. </w:t>
      </w:r>
    </w:p>
    <w:p w:rsidR="00F04E2B" w:rsidRPr="00393BA9" w:rsidRDefault="00F04E2B" w:rsidP="001B243C">
      <w:pPr>
        <w:widowControl w:val="0"/>
        <w:tabs>
          <w:tab w:val="center" w:pos="4118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93BA9">
        <w:rPr>
          <w:rFonts w:ascii="Calibri" w:hAnsi="Calibri" w:cs="Calibri"/>
          <w:noProof/>
          <w:color w:val="000000"/>
          <w:sz w:val="22"/>
          <w:szCs w:val="22"/>
        </w:rPr>
        <w:t>A tabela 3 apresenta de forma detalhada a distribuição das origens prováveis das INCS por grupos de serviços.</w:t>
      </w:r>
    </w:p>
    <w:p w:rsidR="00F04E2B" w:rsidRPr="00393BA9" w:rsidRDefault="00F04E2B" w:rsidP="001B243C">
      <w:pPr>
        <w:widowControl w:val="0"/>
        <w:tabs>
          <w:tab w:val="center" w:pos="4118"/>
          <w:tab w:val="left" w:pos="4820"/>
          <w:tab w:val="left" w:pos="6663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F04E2B" w:rsidRPr="00393BA9" w:rsidRDefault="00F04E2B" w:rsidP="00FB24EB">
      <w:pPr>
        <w:pStyle w:val="Legenda"/>
        <w:rPr>
          <w:rFonts w:ascii="Calibri" w:hAnsi="Calibri"/>
          <w:b w:val="0"/>
          <w:color w:val="365F91"/>
        </w:rPr>
      </w:pPr>
      <w:bookmarkStart w:id="18" w:name="_Toc345624925"/>
      <w:r w:rsidRPr="00FB24EB">
        <w:rPr>
          <w:rFonts w:ascii="Calibri" w:hAnsi="Calibri"/>
          <w:sz w:val="20"/>
          <w:szCs w:val="20"/>
        </w:rPr>
        <w:t xml:space="preserve">Tabela </w:t>
      </w:r>
      <w:r w:rsidR="00657B3F" w:rsidRPr="00FB24EB">
        <w:rPr>
          <w:rFonts w:ascii="Calibri" w:hAnsi="Calibri"/>
          <w:sz w:val="20"/>
          <w:szCs w:val="20"/>
        </w:rPr>
        <w:fldChar w:fldCharType="begin"/>
      </w:r>
      <w:r w:rsidRPr="00FB24EB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FB24EB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3</w:t>
      </w:r>
      <w:r w:rsidR="00657B3F" w:rsidRPr="00FB24EB">
        <w:rPr>
          <w:rFonts w:ascii="Calibri" w:hAnsi="Calibri"/>
          <w:sz w:val="20"/>
          <w:szCs w:val="20"/>
        </w:rPr>
        <w:fldChar w:fldCharType="end"/>
      </w:r>
      <w:r w:rsidRPr="00FB24EB">
        <w:rPr>
          <w:rFonts w:ascii="Calibri" w:hAnsi="Calibri"/>
          <w:sz w:val="20"/>
          <w:szCs w:val="20"/>
        </w:rPr>
        <w:t>: Distribuição das origens prováveis / grupos de serviços N=2400</w:t>
      </w:r>
      <w:bookmarkEnd w:id="18"/>
      <w:r w:rsidRPr="00F81BB6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bookmarkStart w:id="19" w:name="_MON_1405861184"/>
      <w:bookmarkStart w:id="20" w:name="_MON_1416061028"/>
      <w:bookmarkStart w:id="21" w:name="_MON_1405848263"/>
      <w:bookmarkStart w:id="22" w:name="_MON_1405848562"/>
      <w:bookmarkStart w:id="23" w:name="_MON_1405848751"/>
      <w:bookmarkStart w:id="24" w:name="_MON_1405848797"/>
      <w:bookmarkStart w:id="25" w:name="_MON_1405848829"/>
      <w:bookmarkEnd w:id="19"/>
      <w:bookmarkEnd w:id="20"/>
      <w:bookmarkEnd w:id="21"/>
      <w:bookmarkEnd w:id="22"/>
      <w:bookmarkEnd w:id="23"/>
      <w:bookmarkEnd w:id="24"/>
      <w:bookmarkEnd w:id="25"/>
      <w:r w:rsidR="00BE2B0B" w:rsidRPr="00BE2B0B">
        <w:rPr>
          <w:rFonts w:ascii="Calibri" w:hAnsi="Calibri"/>
          <w:sz w:val="22"/>
          <w:szCs w:val="22"/>
        </w:rPr>
        <w:object w:dxaOrig="9467" w:dyaOrig="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183.4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50873340" r:id="rId18"/>
        </w:object>
      </w:r>
      <w:r w:rsidRPr="00393BA9">
        <w:rPr>
          <w:rFonts w:ascii="Calibri" w:hAnsi="Calibri"/>
          <w:b w:val="0"/>
          <w:color w:val="365F91"/>
        </w:rPr>
        <w:t xml:space="preserve"> </w:t>
      </w: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bookmarkStart w:id="26" w:name="_Toc345624865"/>
      <w:r w:rsidRPr="00393BA9">
        <w:rPr>
          <w:rFonts w:ascii="Calibri" w:hAnsi="Calibri"/>
          <w:color w:val="548DD4"/>
        </w:rPr>
        <w:lastRenderedPageBreak/>
        <w:t>INCS associada ao cateter vascular central</w:t>
      </w:r>
      <w:bookmarkEnd w:id="26"/>
    </w:p>
    <w:p w:rsidR="00F04E2B" w:rsidRPr="00393BA9" w:rsidRDefault="00F04E2B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Observou-se uma taxa global de INCS associada ao CVC de 2,2 por mil dias de exposição. Os serviços que apresentaram </w:t>
      </w:r>
      <w:r w:rsidR="00944370">
        <w:rPr>
          <w:rFonts w:ascii="Calibri" w:hAnsi="Calibri" w:cs="Calibri"/>
          <w:sz w:val="22"/>
          <w:szCs w:val="22"/>
        </w:rPr>
        <w:t xml:space="preserve">uma </w:t>
      </w:r>
      <w:r w:rsidRPr="00393BA9">
        <w:rPr>
          <w:rFonts w:ascii="Calibri" w:hAnsi="Calibri" w:cs="Calibri"/>
          <w:sz w:val="22"/>
          <w:szCs w:val="22"/>
        </w:rPr>
        <w:t>taxa mais elevada de INCS associada a CVC foram: Hematologia/Oncologia Pediátrica (6</w:t>
      </w:r>
      <w:r w:rsidRPr="00393BA9">
        <w:rPr>
          <w:rFonts w:ascii="Calibri" w:hAnsi="Calibri" w:cs="Calibri"/>
          <w:color w:val="000000"/>
          <w:sz w:val="22"/>
          <w:szCs w:val="22"/>
          <w:lang w:eastAsia="pt-PT"/>
        </w:rPr>
        <w:t>,1‰)</w:t>
      </w:r>
      <w:r w:rsidRPr="00393BA9">
        <w:rPr>
          <w:rFonts w:ascii="Calibri" w:hAnsi="Calibri" w:cs="Calibri"/>
          <w:sz w:val="22"/>
          <w:szCs w:val="22"/>
        </w:rPr>
        <w:t xml:space="preserve"> seguido de Hematologia/Oncologia de adultos (</w:t>
      </w:r>
      <w:r w:rsidRPr="00393BA9">
        <w:rPr>
          <w:rFonts w:ascii="Calibri" w:hAnsi="Calibri" w:cs="Calibri"/>
          <w:color w:val="000000"/>
          <w:sz w:val="22"/>
          <w:szCs w:val="22"/>
          <w:lang w:eastAsia="pt-PT"/>
        </w:rPr>
        <w:t>3,9‰)</w:t>
      </w:r>
      <w:r w:rsidRPr="00393BA9">
        <w:rPr>
          <w:rFonts w:ascii="Calibri" w:hAnsi="Calibri" w:cs="Calibri"/>
          <w:sz w:val="22"/>
          <w:szCs w:val="22"/>
        </w:rPr>
        <w:t>. A taxa de INCS associada a CVC foi de 1,5</w:t>
      </w:r>
      <w:r w:rsidRPr="00393BA9">
        <w:rPr>
          <w:rFonts w:ascii="Calibri" w:hAnsi="Calibri" w:cs="Calibri"/>
          <w:color w:val="000000"/>
          <w:sz w:val="22"/>
          <w:szCs w:val="22"/>
          <w:lang w:eastAsia="pt-PT"/>
        </w:rPr>
        <w:t xml:space="preserve">‰ </w:t>
      </w:r>
      <w:r w:rsidRPr="00393BA9">
        <w:rPr>
          <w:rFonts w:ascii="Calibri" w:hAnsi="Calibri" w:cs="Calibri"/>
          <w:sz w:val="22"/>
          <w:szCs w:val="22"/>
        </w:rPr>
        <w:t xml:space="preserve">nas UCI polivalentes </w:t>
      </w:r>
      <w:r w:rsidRPr="00393BA9">
        <w:rPr>
          <w:rFonts w:ascii="Calibri" w:hAnsi="Calibri" w:cs="Calibri"/>
          <w:color w:val="000000"/>
          <w:sz w:val="22"/>
          <w:szCs w:val="22"/>
          <w:lang w:eastAsia="pt-PT"/>
        </w:rPr>
        <w:t>e</w:t>
      </w:r>
      <w:r w:rsidR="00F81BB6">
        <w:rPr>
          <w:rFonts w:ascii="Calibri" w:hAnsi="Calibri" w:cs="Calibri"/>
          <w:color w:val="000000"/>
          <w:sz w:val="22"/>
          <w:szCs w:val="22"/>
          <w:lang w:eastAsia="pt-PT"/>
        </w:rPr>
        <w:t xml:space="preserve"> de 1,1 nas Outras UCI (Gráfico 5</w:t>
      </w:r>
      <w:r w:rsidRPr="00393BA9">
        <w:rPr>
          <w:rFonts w:ascii="Calibri" w:hAnsi="Calibri" w:cs="Calibri"/>
          <w:color w:val="000000"/>
          <w:sz w:val="22"/>
          <w:szCs w:val="22"/>
          <w:lang w:eastAsia="pt-PT"/>
        </w:rPr>
        <w:t xml:space="preserve">). </w:t>
      </w:r>
      <w:r w:rsidRPr="00393BA9">
        <w:rPr>
          <w:rFonts w:ascii="Calibri" w:hAnsi="Calibri" w:cs="Calibri"/>
          <w:sz w:val="22"/>
          <w:szCs w:val="22"/>
        </w:rPr>
        <w:t>Nas UCI polivalente e Outras UCI e em menor grau nos Serviços de hematologia/Oncologia, observaram-se índices elevados de exposição ao CVC, enquanto nos restantes serviços, este índice é muito baixo (inferior a 0,10) o que representa um número muito baixo de doentes com CVC no total de doentes internados.</w: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sz w:val="22"/>
          <w:szCs w:val="22"/>
        </w:rPr>
      </w:pPr>
    </w:p>
    <w:p w:rsidR="00F04E2B" w:rsidRPr="00944370" w:rsidRDefault="00657B3F" w:rsidP="00141DA7">
      <w:pPr>
        <w:pStyle w:val="Legenda"/>
        <w:rPr>
          <w:rFonts w:ascii="Calibri" w:hAnsi="Calibri" w:cs="Calibri"/>
          <w:sz w:val="20"/>
          <w:szCs w:val="20"/>
        </w:rPr>
      </w:pPr>
      <w:bookmarkStart w:id="27" w:name="_Toc345624973"/>
      <w:r w:rsidRPr="00657B3F">
        <w:rPr>
          <w:rFonts w:ascii="Calibri" w:hAnsi="Calibri"/>
          <w:noProof/>
          <w:sz w:val="20"/>
          <w:szCs w:val="20"/>
        </w:rPr>
        <w:pict>
          <v:rect id="_x0000_s1044" style="position:absolute;margin-left:-3.65pt;margin-top:21.15pt;width:455.75pt;height:190.6pt;z-index:251662336">
            <v:textbox>
              <w:txbxContent>
                <w:p w:rsidR="009F7B73" w:rsidRDefault="009F7B73">
                  <w:r w:rsidRPr="00405391">
                    <w:rPr>
                      <w:noProof/>
                    </w:rPr>
                    <w:drawing>
                      <wp:inline distT="0" distB="0" distL="0" distR="0">
                        <wp:extent cx="5777530" cy="2380890"/>
                        <wp:effectExtent l="19050" t="0" r="0" b="0"/>
                        <wp:docPr id="25" name="Gráfic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04E2B" w:rsidRPr="00944370">
        <w:rPr>
          <w:rFonts w:ascii="Calibri" w:hAnsi="Calibri"/>
          <w:sz w:val="20"/>
          <w:szCs w:val="20"/>
        </w:rPr>
        <w:t xml:space="preserve">Gráfico </w:t>
      </w:r>
      <w:r w:rsidRPr="00944370">
        <w:rPr>
          <w:rFonts w:ascii="Calibri" w:hAnsi="Calibri"/>
          <w:sz w:val="20"/>
          <w:szCs w:val="20"/>
        </w:rPr>
        <w:fldChar w:fldCharType="begin"/>
      </w:r>
      <w:r w:rsidR="00F04E2B" w:rsidRPr="00944370">
        <w:rPr>
          <w:rFonts w:ascii="Calibri" w:hAnsi="Calibri"/>
          <w:sz w:val="20"/>
          <w:szCs w:val="20"/>
        </w:rPr>
        <w:instrText xml:space="preserve"> SEQ Gráfico \* ARABIC </w:instrText>
      </w:r>
      <w:r w:rsidRPr="00944370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5</w:t>
      </w:r>
      <w:r w:rsidRPr="00944370">
        <w:rPr>
          <w:rFonts w:ascii="Calibri" w:hAnsi="Calibri"/>
          <w:sz w:val="20"/>
          <w:szCs w:val="20"/>
        </w:rPr>
        <w:fldChar w:fldCharType="end"/>
      </w:r>
      <w:r w:rsidR="00F04E2B" w:rsidRPr="00944370">
        <w:rPr>
          <w:rFonts w:ascii="Calibri" w:hAnsi="Calibri"/>
          <w:sz w:val="20"/>
          <w:szCs w:val="20"/>
        </w:rPr>
        <w:t xml:space="preserve">: </w:t>
      </w:r>
      <w:r w:rsidR="00F04E2B" w:rsidRPr="00944370">
        <w:rPr>
          <w:rFonts w:ascii="Calibri" w:hAnsi="Calibri" w:cs="Calibri"/>
          <w:sz w:val="20"/>
          <w:szCs w:val="20"/>
        </w:rPr>
        <w:t>Distribuição das INCS associadas ao CVC, por grupos de serviços</w:t>
      </w:r>
      <w:bookmarkEnd w:id="27"/>
      <w:r w:rsidR="00F04E2B" w:rsidRPr="00944370">
        <w:rPr>
          <w:rFonts w:ascii="Calibri" w:hAnsi="Calibri" w:cs="Calibri"/>
          <w:sz w:val="20"/>
          <w:szCs w:val="20"/>
        </w:rPr>
        <w:t xml:space="preserve"> </w:t>
      </w:r>
    </w:p>
    <w:p w:rsidR="00F04E2B" w:rsidRPr="00393BA9" w:rsidRDefault="00F04E2B" w:rsidP="001B243C">
      <w:pPr>
        <w:pStyle w:val="Corpodetexto3"/>
        <w:jc w:val="center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color w:val="365F91"/>
          <w:sz w:val="22"/>
          <w:szCs w:val="22"/>
        </w:rPr>
      </w:pP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color w:val="365F91"/>
          <w:sz w:val="22"/>
          <w:szCs w:val="22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  <w:bookmarkStart w:id="28" w:name="_Toc345624866"/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405391" w:rsidRDefault="00405391" w:rsidP="001B243C">
      <w:pPr>
        <w:pStyle w:val="Ttulo2"/>
        <w:rPr>
          <w:rFonts w:ascii="Calibri" w:hAnsi="Calibri"/>
          <w:color w:val="548DD4"/>
        </w:rPr>
      </w:pP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r w:rsidRPr="00393BA9">
        <w:rPr>
          <w:rFonts w:ascii="Calibri" w:hAnsi="Calibri"/>
          <w:color w:val="548DD4"/>
        </w:rPr>
        <w:t>Demora Média dos doentes com INCS</w:t>
      </w:r>
      <w:bookmarkEnd w:id="28"/>
      <w:r w:rsidRPr="00393BA9">
        <w:rPr>
          <w:rFonts w:ascii="Calibri" w:hAnsi="Calibri"/>
          <w:color w:val="548DD4"/>
        </w:rPr>
        <w:t xml:space="preserve"> </w: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color w:val="548DD4"/>
          <w:sz w:val="22"/>
          <w:szCs w:val="22"/>
        </w:rPr>
      </w:pPr>
      <w:r w:rsidRPr="00393BA9">
        <w:rPr>
          <w:rFonts w:ascii="Calibri" w:hAnsi="Calibri" w:cs="Calibri"/>
          <w:color w:val="000000"/>
          <w:sz w:val="22"/>
          <w:szCs w:val="22"/>
        </w:rPr>
        <w:t xml:space="preserve">A demora média global de todos os doentes admitidos nos Serviços Clínicos aderentes (incluindo os doentes com INCS) foi de 7,3 dias. A demora média global dos doentes com INCS foi de 36,8 dias. </w:t>
      </w:r>
      <w:r w:rsidRPr="00393BA9">
        <w:rPr>
          <w:rFonts w:ascii="Calibri" w:hAnsi="Calibri" w:cs="Calibri"/>
          <w:sz w:val="22"/>
          <w:szCs w:val="22"/>
        </w:rPr>
        <w:t>No gráfico 6 pode observar-se a distribuição das demoras médias estratificadas por grupos de serviços clínicos, sendo a demora média dos doentes com episódio de INCS mais elevada nos Serviços pediátricos, Especialidades Cirúrgicas e UCI.</w:t>
      </w:r>
    </w:p>
    <w:p w:rsidR="00F04E2B" w:rsidRPr="00F81BB6" w:rsidRDefault="00F04E2B" w:rsidP="00141DA7">
      <w:pPr>
        <w:pStyle w:val="Legenda"/>
        <w:rPr>
          <w:rFonts w:ascii="Calibri" w:hAnsi="Calibri" w:cs="Calibri"/>
          <w:sz w:val="20"/>
          <w:szCs w:val="20"/>
        </w:rPr>
      </w:pPr>
      <w:bookmarkStart w:id="29" w:name="_Toc345624974"/>
      <w:r w:rsidRPr="00F81BB6">
        <w:rPr>
          <w:rFonts w:ascii="Calibri" w:hAnsi="Calibri"/>
          <w:sz w:val="20"/>
          <w:szCs w:val="20"/>
        </w:rPr>
        <w:t xml:space="preserve">Gráfico </w:t>
      </w:r>
      <w:r w:rsidR="00657B3F" w:rsidRPr="00F81BB6">
        <w:rPr>
          <w:rFonts w:ascii="Calibri" w:hAnsi="Calibri"/>
          <w:sz w:val="20"/>
          <w:szCs w:val="20"/>
        </w:rPr>
        <w:fldChar w:fldCharType="begin"/>
      </w:r>
      <w:r w:rsidRPr="00F81BB6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F81BB6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6</w:t>
      </w:r>
      <w:r w:rsidR="00657B3F" w:rsidRPr="00F81BB6">
        <w:rPr>
          <w:rFonts w:ascii="Calibri" w:hAnsi="Calibri"/>
          <w:sz w:val="20"/>
          <w:szCs w:val="20"/>
        </w:rPr>
        <w:fldChar w:fldCharType="end"/>
      </w:r>
      <w:r w:rsidRPr="00F81BB6">
        <w:rPr>
          <w:rFonts w:ascii="Calibri" w:hAnsi="Calibri"/>
          <w:sz w:val="20"/>
          <w:szCs w:val="20"/>
        </w:rPr>
        <w:t xml:space="preserve">: </w:t>
      </w:r>
      <w:r w:rsidRPr="00944370">
        <w:rPr>
          <w:rFonts w:ascii="Calibri" w:hAnsi="Calibri" w:cs="Calibri"/>
          <w:sz w:val="20"/>
          <w:szCs w:val="20"/>
        </w:rPr>
        <w:t>Demora média global de internamento e doentes com episódio de INCS</w:t>
      </w:r>
      <w:bookmarkEnd w:id="29"/>
    </w:p>
    <w:p w:rsidR="00F04E2B" w:rsidRPr="00393BA9" w:rsidRDefault="00B22526" w:rsidP="001B243C">
      <w:pPr>
        <w:pStyle w:val="Corpodetexto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t-PT"/>
        </w:rPr>
        <w:drawing>
          <wp:inline distT="0" distB="0" distL="0" distR="0">
            <wp:extent cx="5275771" cy="2769079"/>
            <wp:effectExtent l="19050" t="0" r="20129" b="0"/>
            <wp:docPr id="9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4E2B" w:rsidRPr="00393BA9" w:rsidRDefault="00F04E2B" w:rsidP="001B243C">
      <w:pPr>
        <w:pStyle w:val="Corpodetexto3"/>
        <w:rPr>
          <w:rFonts w:ascii="Calibri" w:hAnsi="Calibri" w:cs="Calibri"/>
          <w:b/>
          <w:color w:val="548DD4"/>
          <w:sz w:val="22"/>
          <w:szCs w:val="22"/>
        </w:rPr>
      </w:pP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bookmarkStart w:id="30" w:name="_Toc345624867"/>
      <w:r w:rsidRPr="00393BA9">
        <w:rPr>
          <w:rFonts w:ascii="Calibri" w:hAnsi="Calibri"/>
          <w:color w:val="548DD4"/>
        </w:rPr>
        <w:t>Resultado do internamento nos doentes com INCS</w:t>
      </w:r>
      <w:bookmarkEnd w:id="30"/>
    </w:p>
    <w:p w:rsidR="00F04E2B" w:rsidRPr="00393BA9" w:rsidRDefault="00F04E2B" w:rsidP="001B243C">
      <w:pPr>
        <w:pStyle w:val="Corpodetexto3"/>
        <w:rPr>
          <w:rFonts w:ascii="Calibri" w:hAnsi="Calibri" w:cs="Calibri"/>
          <w:color w:val="000000"/>
          <w:sz w:val="22"/>
          <w:szCs w:val="22"/>
        </w:rPr>
      </w:pPr>
      <w:r w:rsidRPr="00393BA9">
        <w:rPr>
          <w:rFonts w:ascii="Calibri" w:hAnsi="Calibri" w:cs="Calibri"/>
          <w:color w:val="000000"/>
          <w:sz w:val="22"/>
          <w:szCs w:val="22"/>
        </w:rPr>
        <w:t xml:space="preserve">Dos 2 400 doentes com episódio de INCS 1 149 (48,9%) saíram com alta, 504 (21,4%) foram transferidos para outros serviços ou outras unidades de saúde e 698 (29,7%) faleceram no decurso do episódio de internamento que deu origem à INCS. </w:t>
      </w:r>
    </w:p>
    <w:p w:rsidR="00F04E2B" w:rsidRPr="00393BA9" w:rsidRDefault="00F04E2B" w:rsidP="001B243C">
      <w:pPr>
        <w:pStyle w:val="Corpodetexto3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A taxa bruta de mortalidade foi mais elevada nas UCI (44,2%), serviços de Medicina Interna (38,8%), Especialidades Médicas (26,7%) Cirurgia Geral (26,2%) e Esp</w:t>
      </w:r>
      <w:r w:rsidR="00944370">
        <w:rPr>
          <w:rFonts w:ascii="Calibri" w:hAnsi="Calibri" w:cs="Calibri"/>
          <w:sz w:val="22"/>
          <w:szCs w:val="22"/>
        </w:rPr>
        <w:t xml:space="preserve">ecialidades Cirúrgicas (19,9%) e, </w:t>
      </w:r>
      <w:r w:rsidRPr="00393BA9">
        <w:rPr>
          <w:rFonts w:ascii="Calibri" w:hAnsi="Calibri" w:cs="Calibri"/>
          <w:sz w:val="22"/>
          <w:szCs w:val="22"/>
        </w:rPr>
        <w:t>apresentou diferenças significati</w:t>
      </w:r>
      <w:r w:rsidR="00944370">
        <w:rPr>
          <w:rFonts w:ascii="Calibri" w:hAnsi="Calibri" w:cs="Calibri"/>
          <w:sz w:val="22"/>
          <w:szCs w:val="22"/>
        </w:rPr>
        <w:t>vas por grupo etário (Tabela 4):</w:t>
      </w:r>
      <w:r w:rsidRPr="00393BA9">
        <w:rPr>
          <w:rFonts w:ascii="Calibri" w:hAnsi="Calibri" w:cs="Calibri"/>
          <w:sz w:val="22"/>
          <w:szCs w:val="22"/>
        </w:rPr>
        <w:t xml:space="preserve"> Nos doentes com mais de 60 anos (62,2%) </w:t>
      </w:r>
      <w:r w:rsidR="00944370">
        <w:rPr>
          <w:rFonts w:ascii="Calibri" w:hAnsi="Calibri" w:cs="Calibri"/>
          <w:sz w:val="22"/>
          <w:szCs w:val="22"/>
        </w:rPr>
        <w:t xml:space="preserve">esta </w:t>
      </w:r>
      <w:r w:rsidRPr="00393BA9">
        <w:rPr>
          <w:rFonts w:ascii="Calibri" w:hAnsi="Calibri" w:cs="Calibri"/>
          <w:sz w:val="22"/>
          <w:szCs w:val="22"/>
        </w:rPr>
        <w:t>taxa foi de 33,0%</w:t>
      </w:r>
      <w:r w:rsidR="00944370">
        <w:rPr>
          <w:rFonts w:ascii="Calibri" w:hAnsi="Calibri" w:cs="Calibri"/>
          <w:sz w:val="22"/>
          <w:szCs w:val="22"/>
        </w:rPr>
        <w:t xml:space="preserve"> e n</w:t>
      </w:r>
      <w:r w:rsidRPr="00393BA9">
        <w:rPr>
          <w:rFonts w:ascii="Calibri" w:hAnsi="Calibri" w:cs="Calibri"/>
          <w:sz w:val="22"/>
          <w:szCs w:val="22"/>
        </w:rPr>
        <w:t>os doentes com mais de 80 anos (18,4%)</w:t>
      </w:r>
      <w:r w:rsidR="00944370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foi de 40,7%.</w:t>
      </w: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666D57" w:rsidRDefault="00F04E2B" w:rsidP="00141DA7">
      <w:pPr>
        <w:pStyle w:val="Legenda"/>
        <w:rPr>
          <w:rFonts w:ascii="Calibri" w:hAnsi="Calibri" w:cs="Calibri"/>
          <w:sz w:val="20"/>
          <w:szCs w:val="20"/>
        </w:rPr>
      </w:pPr>
      <w:bookmarkStart w:id="31" w:name="_Toc345624926"/>
      <w:r w:rsidRPr="00666D57">
        <w:rPr>
          <w:rFonts w:ascii="Calibri" w:hAnsi="Calibri"/>
          <w:sz w:val="20"/>
          <w:szCs w:val="20"/>
        </w:rPr>
        <w:t xml:space="preserve">Tabela </w:t>
      </w:r>
      <w:r w:rsidR="00657B3F" w:rsidRPr="00666D57">
        <w:rPr>
          <w:rFonts w:ascii="Calibri" w:hAnsi="Calibri"/>
          <w:sz w:val="20"/>
          <w:szCs w:val="20"/>
        </w:rPr>
        <w:fldChar w:fldCharType="begin"/>
      </w:r>
      <w:r w:rsidRPr="00666D57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666D57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4</w:t>
      </w:r>
      <w:r w:rsidR="00657B3F" w:rsidRPr="00666D57">
        <w:rPr>
          <w:rFonts w:ascii="Calibri" w:hAnsi="Calibri"/>
          <w:sz w:val="20"/>
          <w:szCs w:val="20"/>
        </w:rPr>
        <w:fldChar w:fldCharType="end"/>
      </w:r>
      <w:r w:rsidRPr="00666D57">
        <w:rPr>
          <w:rFonts w:ascii="Calibri" w:hAnsi="Calibri"/>
          <w:sz w:val="20"/>
          <w:szCs w:val="20"/>
        </w:rPr>
        <w:t>:</w:t>
      </w:r>
      <w:r w:rsidRPr="00666D57">
        <w:rPr>
          <w:rFonts w:ascii="Calibri" w:hAnsi="Calibri"/>
          <w:b w:val="0"/>
          <w:sz w:val="20"/>
          <w:szCs w:val="20"/>
        </w:rPr>
        <w:t xml:space="preserve"> </w:t>
      </w:r>
      <w:r w:rsidRPr="00944370">
        <w:rPr>
          <w:rFonts w:ascii="Calibri" w:hAnsi="Calibri" w:cs="Calibri"/>
          <w:sz w:val="20"/>
          <w:szCs w:val="20"/>
        </w:rPr>
        <w:t>Mortalidade nos doentes com INCS estratificada por faixas etárias N=698</w:t>
      </w:r>
      <w:bookmarkEnd w:id="31"/>
    </w:p>
    <w:p w:rsidR="00666D57" w:rsidRDefault="00657B3F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  <w:r w:rsidRPr="00657B3F">
        <w:rPr>
          <w:noProof/>
          <w:lang w:eastAsia="pt-PT"/>
        </w:rPr>
        <w:pict>
          <v:rect id="_x0000_s1037" style="position:absolute;left:0;text-align:left;margin-left:33.7pt;margin-top:4.8pt;width:370.2pt;height:202.7pt;z-index:251659264" stroked="f">
            <v:textbox style="mso-next-textbox:#_x0000_s1037">
              <w:txbxContent>
                <w:tbl>
                  <w:tblPr>
                    <w:tblW w:w="6024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488"/>
                    <w:gridCol w:w="1417"/>
                    <w:gridCol w:w="1276"/>
                    <w:gridCol w:w="1843"/>
                  </w:tblGrid>
                  <w:tr w:rsidR="009F7B73" w:rsidRPr="00666D57" w:rsidTr="00666D57">
                    <w:trPr>
                      <w:trHeight w:val="526"/>
                    </w:trPr>
                    <w:tc>
                      <w:tcPr>
                        <w:tcW w:w="1488" w:type="dxa"/>
                        <w:tcBorders>
                          <w:top w:val="double" w:sz="4" w:space="0" w:color="984806"/>
                          <w:bottom w:val="double" w:sz="4" w:space="0" w:color="984806"/>
                        </w:tcBorders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Faixas Etárias</w:t>
                        </w:r>
                      </w:p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984806"/>
                          <w:bottom w:val="double" w:sz="4" w:space="0" w:color="984806"/>
                        </w:tcBorders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Episódios</w:t>
                        </w:r>
                      </w:p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INCS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984806"/>
                          <w:bottom w:val="double" w:sz="4" w:space="0" w:color="984806"/>
                        </w:tcBorders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Episódios</w:t>
                        </w:r>
                      </w:p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Morte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uble" w:sz="4" w:space="0" w:color="984806"/>
                          <w:bottom w:val="double" w:sz="4" w:space="0" w:color="984806"/>
                        </w:tcBorders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 xml:space="preserve">Taxa </w:t>
                        </w:r>
                        <w:r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 xml:space="preserve">bruta de </w:t>
                        </w: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mortalidade</w:t>
                        </w:r>
                      </w:p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Grupos etários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tcBorders>
                          <w:top w:val="double" w:sz="4" w:space="0" w:color="984806"/>
                        </w:tcBorders>
                        <w:shd w:val="clear" w:color="auto" w:fill="E36C0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&lt;1 ano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984806"/>
                        </w:tcBorders>
                        <w:shd w:val="clear" w:color="auto" w:fill="E36C0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984806"/>
                        </w:tcBorders>
                        <w:shd w:val="clear" w:color="auto" w:fill="E36C0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uble" w:sz="4" w:space="0" w:color="984806"/>
                        </w:tcBorders>
                        <w:shd w:val="clear" w:color="auto" w:fill="E36C0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8,2%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1-10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2,8%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11-20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11,4%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21-30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27,5%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31-40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14,9%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41-50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17,9%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shd w:val="clear" w:color="auto" w:fill="FDE9D9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51-60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DE9D9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393</w:t>
                        </w:r>
                      </w:p>
                    </w:tc>
                    <w:tc>
                      <w:tcPr>
                        <w:tcW w:w="1276" w:type="dxa"/>
                        <w:shd w:val="clear" w:color="auto" w:fill="FDE9D9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1843" w:type="dxa"/>
                        <w:shd w:val="clear" w:color="auto" w:fill="FDE9D9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25,2%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61-70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447</w:t>
                        </w:r>
                      </w:p>
                    </w:tc>
                    <w:tc>
                      <w:tcPr>
                        <w:tcW w:w="1276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1843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29,5%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71-80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604</w:t>
                        </w:r>
                      </w:p>
                    </w:tc>
                    <w:tc>
                      <w:tcPr>
                        <w:tcW w:w="1276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1843" w:type="dxa"/>
                        <w:shd w:val="clear" w:color="auto" w:fill="FABF8F"/>
                        <w:noWrap/>
                        <w:vAlign w:val="center"/>
                      </w:tcPr>
                      <w:p w:rsidR="009F7B73" w:rsidRPr="00666D57" w:rsidRDefault="009F7B73" w:rsidP="00015F81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34,9%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shd w:val="clear" w:color="auto" w:fill="E36C0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&gt;80 anos</w:t>
                        </w:r>
                      </w:p>
                    </w:tc>
                    <w:tc>
                      <w:tcPr>
                        <w:tcW w:w="1417" w:type="dxa"/>
                        <w:shd w:val="clear" w:color="auto" w:fill="E36C0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442</w:t>
                        </w:r>
                      </w:p>
                    </w:tc>
                    <w:tc>
                      <w:tcPr>
                        <w:tcW w:w="1276" w:type="dxa"/>
                        <w:shd w:val="clear" w:color="auto" w:fill="E36C0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843" w:type="dxa"/>
                        <w:shd w:val="clear" w:color="auto" w:fill="E36C0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40,7%</w:t>
                        </w:r>
                      </w:p>
                    </w:tc>
                  </w:tr>
                  <w:tr w:rsidR="009F7B73" w:rsidRPr="00666D57" w:rsidTr="00666D57">
                    <w:trPr>
                      <w:trHeight w:val="262"/>
                    </w:trPr>
                    <w:tc>
                      <w:tcPr>
                        <w:tcW w:w="1488" w:type="dx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417" w:type="dx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698</w:t>
                        </w:r>
                      </w:p>
                    </w:tc>
                    <w:tc>
                      <w:tcPr>
                        <w:tcW w:w="1843" w:type="dxa"/>
                        <w:noWrap/>
                        <w:vAlign w:val="bottom"/>
                      </w:tcPr>
                      <w:p w:rsidR="009F7B73" w:rsidRPr="00666D57" w:rsidRDefault="009F7B73" w:rsidP="00AC3166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</w:pPr>
                        <w:r w:rsidRPr="00666D57">
                          <w:rPr>
                            <w:rFonts w:asciiTheme="minorHAnsi" w:hAnsiTheme="minorHAnsi" w:cs="Arial"/>
                            <w:color w:val="000000"/>
                            <w:sz w:val="20"/>
                            <w:szCs w:val="20"/>
                          </w:rPr>
                          <w:t>29,1%</w:t>
                        </w:r>
                      </w:p>
                    </w:tc>
                  </w:tr>
                </w:tbl>
                <w:p w:rsidR="009F7B73" w:rsidRPr="00393856" w:rsidRDefault="009F7B73" w:rsidP="00AC31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04E2B" w:rsidRPr="00393BA9">
        <w:rPr>
          <w:rFonts w:ascii="Calibri" w:hAnsi="Calibri" w:cs="Calibri"/>
          <w:b/>
          <w:sz w:val="22"/>
          <w:szCs w:val="22"/>
        </w:rPr>
        <w:t xml:space="preserve"> </w:t>
      </w:r>
    </w:p>
    <w:p w:rsidR="007776E3" w:rsidRDefault="007776E3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7776E3" w:rsidRPr="00393BA9" w:rsidRDefault="007776E3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Default="00F04E2B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666D57" w:rsidRPr="00393BA9" w:rsidRDefault="00666D57" w:rsidP="001B243C">
      <w:pPr>
        <w:pStyle w:val="Corpodetexto3"/>
        <w:ind w:right="1114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bookmarkStart w:id="32" w:name="_Toc345624868"/>
      <w:r w:rsidRPr="00393BA9">
        <w:rPr>
          <w:rFonts w:ascii="Calibri" w:hAnsi="Calibri"/>
          <w:color w:val="548DD4"/>
        </w:rPr>
        <w:t>Incidência de INCS de acordo com o tempo de internamento prévio ao episódio</w:t>
      </w:r>
      <w:bookmarkEnd w:id="32"/>
      <w:r w:rsidRPr="00393BA9">
        <w:rPr>
          <w:rFonts w:ascii="Calibri" w:hAnsi="Calibri"/>
          <w:color w:val="548DD4"/>
        </w:rPr>
        <w:t xml:space="preserve">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Mais de metade das INCS surgiram após duas semanas de permanência dos doentes no hospital, observando-se um aumento progressivo, à medida que aumenta o tempo de internamento. Este aumento é difícil de interpretar nos serviços onde o número de episódios de INCS registados é pequeno (Obstetrícia, Ginecologia, Pediatria).</w:t>
      </w:r>
    </w:p>
    <w:p w:rsidR="00F04E2B" w:rsidRPr="00944370" w:rsidRDefault="00F04E2B" w:rsidP="00F173F1">
      <w:pPr>
        <w:pStyle w:val="Legenda"/>
        <w:spacing w:after="0"/>
        <w:rPr>
          <w:rFonts w:ascii="Calibri" w:hAnsi="Calibri" w:cs="Calibri"/>
          <w:sz w:val="20"/>
          <w:szCs w:val="20"/>
        </w:rPr>
      </w:pPr>
      <w:bookmarkStart w:id="33" w:name="_Toc345624927"/>
      <w:r w:rsidRPr="00666D57">
        <w:rPr>
          <w:rFonts w:ascii="Calibri" w:hAnsi="Calibri"/>
          <w:sz w:val="20"/>
          <w:szCs w:val="20"/>
        </w:rPr>
        <w:t xml:space="preserve">Tabela </w:t>
      </w:r>
      <w:r w:rsidR="00657B3F" w:rsidRPr="00666D57">
        <w:rPr>
          <w:rFonts w:ascii="Calibri" w:hAnsi="Calibri"/>
          <w:sz w:val="20"/>
          <w:szCs w:val="20"/>
        </w:rPr>
        <w:fldChar w:fldCharType="begin"/>
      </w:r>
      <w:r w:rsidRPr="00666D57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666D57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5</w:t>
      </w:r>
      <w:r w:rsidR="00657B3F" w:rsidRPr="00666D57">
        <w:rPr>
          <w:rFonts w:ascii="Calibri" w:hAnsi="Calibri"/>
          <w:sz w:val="20"/>
          <w:szCs w:val="20"/>
        </w:rPr>
        <w:fldChar w:fldCharType="end"/>
      </w:r>
      <w:r w:rsidRPr="00666D57">
        <w:rPr>
          <w:rFonts w:ascii="Calibri" w:hAnsi="Calibri"/>
          <w:sz w:val="20"/>
          <w:szCs w:val="20"/>
        </w:rPr>
        <w:t xml:space="preserve">: </w:t>
      </w:r>
      <w:r w:rsidRPr="00944370">
        <w:rPr>
          <w:rFonts w:ascii="Calibri" w:hAnsi="Calibri" w:cs="Calibri"/>
          <w:sz w:val="20"/>
          <w:szCs w:val="20"/>
        </w:rPr>
        <w:t>Incidência de INC</w:t>
      </w:r>
      <w:r w:rsidR="00944370">
        <w:rPr>
          <w:rFonts w:ascii="Calibri" w:hAnsi="Calibri" w:cs="Calibri"/>
          <w:sz w:val="20"/>
          <w:szCs w:val="20"/>
        </w:rPr>
        <w:t xml:space="preserve"> </w:t>
      </w:r>
      <w:r w:rsidRPr="00944370">
        <w:rPr>
          <w:rFonts w:ascii="Calibri" w:hAnsi="Calibri" w:cs="Calibri"/>
          <w:sz w:val="20"/>
          <w:szCs w:val="20"/>
        </w:rPr>
        <w:t>estratificada por</w:t>
      </w:r>
      <w:r w:rsidR="00944370">
        <w:rPr>
          <w:rFonts w:ascii="Calibri" w:hAnsi="Calibri" w:cs="Calibri"/>
          <w:sz w:val="20"/>
          <w:szCs w:val="20"/>
        </w:rPr>
        <w:t>:</w:t>
      </w:r>
      <w:r w:rsidRPr="00944370">
        <w:rPr>
          <w:rFonts w:ascii="Calibri" w:hAnsi="Calibri" w:cs="Calibri"/>
          <w:sz w:val="20"/>
          <w:szCs w:val="20"/>
        </w:rPr>
        <w:t xml:space="preserve"> internamento prévio ao episódio de INCS</w:t>
      </w:r>
      <w:r w:rsidR="00944370">
        <w:rPr>
          <w:rFonts w:ascii="Calibri" w:hAnsi="Calibri" w:cs="Calibri"/>
          <w:sz w:val="20"/>
          <w:szCs w:val="20"/>
        </w:rPr>
        <w:t>/</w:t>
      </w:r>
      <w:r w:rsidRPr="00944370">
        <w:rPr>
          <w:rFonts w:ascii="Calibri" w:hAnsi="Calibri" w:cs="Calibri"/>
          <w:sz w:val="20"/>
          <w:szCs w:val="20"/>
        </w:rPr>
        <w:t>grupos de serviços</w:t>
      </w:r>
      <w:r w:rsidR="00944370">
        <w:rPr>
          <w:rFonts w:ascii="Calibri" w:hAnsi="Calibri" w:cs="Calibri"/>
          <w:sz w:val="20"/>
          <w:szCs w:val="20"/>
        </w:rPr>
        <w:t xml:space="preserve"> </w:t>
      </w:r>
      <w:bookmarkEnd w:id="33"/>
    </w:p>
    <w:tbl>
      <w:tblPr>
        <w:tblW w:w="8213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40"/>
        <w:gridCol w:w="575"/>
        <w:gridCol w:w="893"/>
        <w:gridCol w:w="525"/>
        <w:gridCol w:w="692"/>
        <w:gridCol w:w="581"/>
        <w:gridCol w:w="834"/>
        <w:gridCol w:w="581"/>
        <w:gridCol w:w="692"/>
      </w:tblGrid>
      <w:tr w:rsidR="001D329D" w:rsidRPr="00666D57" w:rsidTr="001D329D">
        <w:trPr>
          <w:trHeight w:val="255"/>
        </w:trPr>
        <w:tc>
          <w:tcPr>
            <w:tcW w:w="2840" w:type="dxa"/>
            <w:tcBorders>
              <w:top w:val="double" w:sz="4" w:space="0" w:color="17365D"/>
              <w:bottom w:val="double" w:sz="4" w:space="0" w:color="17365D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Grupos de Serviços</w:t>
            </w:r>
          </w:p>
        </w:tc>
        <w:tc>
          <w:tcPr>
            <w:tcW w:w="1468" w:type="dxa"/>
            <w:gridSpan w:val="2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Dias</w:t>
            </w:r>
          </w:p>
        </w:tc>
        <w:tc>
          <w:tcPr>
            <w:tcW w:w="1217" w:type="dxa"/>
            <w:gridSpan w:val="2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 Dias</w:t>
            </w:r>
          </w:p>
        </w:tc>
        <w:tc>
          <w:tcPr>
            <w:tcW w:w="1415" w:type="dxa"/>
            <w:gridSpan w:val="2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– 15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ias</w:t>
            </w:r>
          </w:p>
        </w:tc>
        <w:tc>
          <w:tcPr>
            <w:tcW w:w="1273" w:type="dxa"/>
            <w:gridSpan w:val="2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 Dias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double" w:sz="4" w:space="0" w:color="17365D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Obstetrícia </w:t>
            </w:r>
          </w:p>
        </w:tc>
        <w:tc>
          <w:tcPr>
            <w:tcW w:w="575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525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81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81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double" w:sz="4" w:space="0" w:color="17365D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0,0%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UCI Pediátricas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63,6%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Medicina Interna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31,4%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Pediatria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22,2%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Especialidades Médicas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43,5%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Especialidades Cirúrgicas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45,2%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UCI Polivalente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36,5%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Hematologia/Oncologia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36,4%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Outras UCI (UCIM, UCIC)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42,7%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Outros Serviços Pediátricos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44,0%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20,0%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Hematologia/Oncologia Pediat.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23,6%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Outros Serviços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38,5%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Ginecologia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33,3%</w:t>
            </w:r>
          </w:p>
        </w:tc>
      </w:tr>
      <w:tr w:rsidR="001D329D" w:rsidRPr="00666D57" w:rsidTr="00564E40">
        <w:trPr>
          <w:trHeight w:val="270"/>
        </w:trPr>
        <w:tc>
          <w:tcPr>
            <w:tcW w:w="2840" w:type="dxa"/>
            <w:tcBorders>
              <w:top w:val="nil"/>
              <w:bottom w:val="double" w:sz="4" w:space="0" w:color="17365D"/>
              <w:right w:val="single" w:sz="4" w:space="0" w:color="auto"/>
            </w:tcBorders>
            <w:noWrap/>
            <w:vAlign w:val="center"/>
          </w:tcPr>
          <w:p w:rsidR="001D329D" w:rsidRPr="00666D57" w:rsidRDefault="001D329D" w:rsidP="00015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Cirurgia Geral </w:t>
            </w:r>
          </w:p>
        </w:tc>
        <w:tc>
          <w:tcPr>
            <w:tcW w:w="575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564E40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64E4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525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581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581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2" w:type="dxa"/>
            <w:tcBorders>
              <w:top w:val="nil"/>
              <w:left w:val="nil"/>
              <w:bottom w:val="double" w:sz="4" w:space="0" w:color="17365D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color w:val="000000"/>
                <w:sz w:val="20"/>
                <w:szCs w:val="20"/>
              </w:rPr>
              <w:t>44,4%</w:t>
            </w:r>
          </w:p>
        </w:tc>
      </w:tr>
      <w:tr w:rsidR="001D329D" w:rsidRPr="00666D57" w:rsidTr="00564E40">
        <w:trPr>
          <w:trHeight w:val="255"/>
        </w:trPr>
        <w:tc>
          <w:tcPr>
            <w:tcW w:w="2840" w:type="dxa"/>
            <w:tcBorders>
              <w:top w:val="double" w:sz="4" w:space="0" w:color="17365D"/>
              <w:bottom w:val="double" w:sz="4" w:space="0" w:color="17365D"/>
              <w:right w:val="single" w:sz="4" w:space="0" w:color="auto"/>
            </w:tcBorders>
            <w:noWrap/>
            <w:vAlign w:val="bottom"/>
          </w:tcPr>
          <w:p w:rsidR="001D329D" w:rsidRPr="00666D57" w:rsidRDefault="001D329D" w:rsidP="00015F81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575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EEFE2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93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EEFE2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525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92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581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9B883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4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9B883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30,9%</w:t>
            </w:r>
          </w:p>
        </w:tc>
        <w:tc>
          <w:tcPr>
            <w:tcW w:w="581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7A765"/>
            <w:noWrap/>
            <w:vAlign w:val="bottom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692" w:type="dxa"/>
            <w:tcBorders>
              <w:top w:val="double" w:sz="4" w:space="0" w:color="17365D"/>
              <w:left w:val="nil"/>
              <w:bottom w:val="double" w:sz="4" w:space="0" w:color="17365D"/>
              <w:right w:val="single" w:sz="4" w:space="0" w:color="auto"/>
            </w:tcBorders>
            <w:shd w:val="clear" w:color="auto" w:fill="F7A765"/>
            <w:noWrap/>
            <w:vAlign w:val="center"/>
          </w:tcPr>
          <w:p w:rsidR="001D329D" w:rsidRPr="00666D57" w:rsidRDefault="001D329D" w:rsidP="00015F8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37,3%</w:t>
            </w:r>
          </w:p>
        </w:tc>
      </w:tr>
    </w:tbl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bookmarkStart w:id="34" w:name="_Toc345624869"/>
      <w:r w:rsidRPr="00393BA9">
        <w:rPr>
          <w:rFonts w:ascii="Calibri" w:hAnsi="Calibri"/>
          <w:color w:val="548DD4"/>
        </w:rPr>
        <w:lastRenderedPageBreak/>
        <w:t>Microrganismos isolados nos doentes com INCS</w:t>
      </w:r>
      <w:bookmarkEnd w:id="34"/>
    </w:p>
    <w:p w:rsidR="00F04E2B" w:rsidRPr="00393BA9" w:rsidRDefault="00F04E2B" w:rsidP="001B243C">
      <w:pPr>
        <w:jc w:val="both"/>
        <w:rPr>
          <w:rFonts w:ascii="Calibri" w:hAnsi="Calibri" w:cs="Calibri"/>
          <w:b/>
          <w:sz w:val="22"/>
          <w:szCs w:val="22"/>
        </w:rPr>
      </w:pPr>
    </w:p>
    <w:p w:rsidR="00F04E2B" w:rsidRPr="00666D57" w:rsidRDefault="00F04E2B" w:rsidP="00141DA7">
      <w:pPr>
        <w:pStyle w:val="Legenda"/>
        <w:rPr>
          <w:rFonts w:ascii="Calibri" w:hAnsi="Calibri" w:cs="Calibri"/>
          <w:b w:val="0"/>
          <w:sz w:val="20"/>
          <w:szCs w:val="20"/>
        </w:rPr>
      </w:pPr>
      <w:bookmarkStart w:id="35" w:name="_Toc345624928"/>
      <w:r w:rsidRPr="00666D57">
        <w:rPr>
          <w:rFonts w:ascii="Calibri" w:hAnsi="Calibri"/>
          <w:sz w:val="20"/>
          <w:szCs w:val="20"/>
        </w:rPr>
        <w:t xml:space="preserve">Tabela </w:t>
      </w:r>
      <w:r w:rsidR="00657B3F" w:rsidRPr="00666D57">
        <w:rPr>
          <w:rFonts w:ascii="Calibri" w:hAnsi="Calibri"/>
          <w:sz w:val="20"/>
          <w:szCs w:val="20"/>
        </w:rPr>
        <w:fldChar w:fldCharType="begin"/>
      </w:r>
      <w:r w:rsidRPr="00666D57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666D57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6</w:t>
      </w:r>
      <w:r w:rsidR="00657B3F" w:rsidRPr="00666D57">
        <w:rPr>
          <w:rFonts w:ascii="Calibri" w:hAnsi="Calibri"/>
          <w:sz w:val="20"/>
          <w:szCs w:val="20"/>
        </w:rPr>
        <w:fldChar w:fldCharType="end"/>
      </w:r>
      <w:r w:rsidRPr="00666D57">
        <w:rPr>
          <w:rFonts w:ascii="Calibri" w:hAnsi="Calibri"/>
          <w:sz w:val="20"/>
          <w:szCs w:val="20"/>
        </w:rPr>
        <w:t>:</w:t>
      </w:r>
      <w:r w:rsidRPr="00666D57">
        <w:rPr>
          <w:rFonts w:ascii="Calibri" w:hAnsi="Calibri"/>
          <w:b w:val="0"/>
          <w:sz w:val="20"/>
          <w:szCs w:val="20"/>
        </w:rPr>
        <w:t xml:space="preserve"> </w:t>
      </w:r>
      <w:r w:rsidRPr="00944370">
        <w:rPr>
          <w:rFonts w:ascii="Calibri" w:hAnsi="Calibri" w:cs="Calibri"/>
          <w:sz w:val="20"/>
          <w:szCs w:val="20"/>
        </w:rPr>
        <w:t>Distribuição dos microrganismos isolados por frequência e por espécie</w:t>
      </w:r>
      <w:bookmarkEnd w:id="35"/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6255"/>
        <w:gridCol w:w="2106"/>
      </w:tblGrid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  <w:bottom w:val="single" w:sz="18" w:space="0" w:color="4BACC6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Microrganismos Gram negativo</w:t>
            </w:r>
          </w:p>
        </w:tc>
        <w:tc>
          <w:tcPr>
            <w:tcW w:w="2106" w:type="dxa"/>
            <w:tcBorders>
              <w:bottom w:val="single" w:sz="18" w:space="0" w:color="4BACC6"/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1224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Enterobacteriáceas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         E. coli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Klebsiella 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Enterobacter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sp. 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Proteus /Morganella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Serratia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Outras enterobacteriáceas</w:t>
            </w:r>
          </w:p>
        </w:tc>
        <w:tc>
          <w:tcPr>
            <w:tcW w:w="2106" w:type="dxa"/>
            <w:tcBorders>
              <w:righ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843 (68,9%)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346 (41%)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273 (32,4%)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102 (12%)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69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Não fermentativos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         Pseudomonas aeruginosa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Acinetobacter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Stenotrophomonas 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Burkolderia cepacia</w:t>
            </w:r>
          </w:p>
        </w:tc>
        <w:tc>
          <w:tcPr>
            <w:tcW w:w="2106" w:type="dxa"/>
            <w:tcBorders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370 (30,2%)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269 (72,7%)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 xml:space="preserve">79 (21,4%) 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Outros Gram negativo</w:t>
            </w:r>
          </w:p>
        </w:tc>
        <w:tc>
          <w:tcPr>
            <w:tcW w:w="2106" w:type="dxa"/>
            <w:tcBorders>
              <w:righ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29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Cs/>
                <w:sz w:val="20"/>
                <w:szCs w:val="20"/>
              </w:rPr>
              <w:t>Microrganismos Gram positivo</w:t>
            </w:r>
          </w:p>
        </w:tc>
        <w:tc>
          <w:tcPr>
            <w:tcW w:w="2106" w:type="dxa"/>
            <w:tcBorders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1188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US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US"/>
              </w:rPr>
              <w:t xml:space="preserve">Staphylococcus 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sp.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US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US"/>
              </w:rPr>
              <w:t xml:space="preserve">                        Staphlyococcus aureus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val="en-US"/>
              </w:rPr>
              <w:t xml:space="preserve">                        Staphylococous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coagulase neg</w:t>
            </w:r>
          </w:p>
        </w:tc>
        <w:tc>
          <w:tcPr>
            <w:tcW w:w="2106" w:type="dxa"/>
            <w:tcBorders>
              <w:righ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  </w:t>
            </w: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>888 (74,7%)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492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396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Enterococcus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   Enterococcus faecalis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   Enterococcus faecium</w:t>
            </w:r>
          </w:p>
        </w:tc>
        <w:tc>
          <w:tcPr>
            <w:tcW w:w="2106" w:type="dxa"/>
            <w:tcBorders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228 (19,2%)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113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115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Streptococcus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 Streptococcus viridans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            Streptococcus pneumoniae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        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Outros</w:t>
            </w:r>
            <w:r w:rsidRPr="00666D5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Streptococcus </w:t>
            </w: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betahemolíticos</w:t>
            </w:r>
          </w:p>
        </w:tc>
        <w:tc>
          <w:tcPr>
            <w:tcW w:w="2106" w:type="dxa"/>
            <w:tcBorders>
              <w:righ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50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Outros Gram positivo</w:t>
            </w:r>
          </w:p>
        </w:tc>
        <w:tc>
          <w:tcPr>
            <w:tcW w:w="2106" w:type="dxa"/>
            <w:tcBorders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22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Cs/>
                <w:sz w:val="20"/>
                <w:szCs w:val="20"/>
              </w:rPr>
              <w:t>Fungos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 xml:space="preserve">                      Candida albicans 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                     Outros fungos</w:t>
            </w:r>
          </w:p>
        </w:tc>
        <w:tc>
          <w:tcPr>
            <w:tcW w:w="2106" w:type="dxa"/>
            <w:tcBorders>
              <w:right w:val="nil"/>
            </w:tcBorders>
            <w:shd w:val="clear" w:color="auto" w:fill="D2EAF1"/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114 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62</w:t>
            </w:r>
          </w:p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>52</w:t>
            </w:r>
          </w:p>
        </w:tc>
      </w:tr>
      <w:tr w:rsidR="00F04E2B" w:rsidRPr="00666D57" w:rsidTr="009A03BD">
        <w:trPr>
          <w:jc w:val="center"/>
        </w:trPr>
        <w:tc>
          <w:tcPr>
            <w:tcW w:w="6255" w:type="dxa"/>
            <w:tcBorders>
              <w:lef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Microrganismos anaeróbios</w:t>
            </w:r>
          </w:p>
        </w:tc>
        <w:tc>
          <w:tcPr>
            <w:tcW w:w="2106" w:type="dxa"/>
            <w:tcBorders>
              <w:right w:val="nil"/>
            </w:tcBorders>
          </w:tcPr>
          <w:p w:rsidR="00F04E2B" w:rsidRPr="00666D57" w:rsidRDefault="00F04E2B" w:rsidP="009A03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6D57">
              <w:rPr>
                <w:rFonts w:asciiTheme="minorHAnsi" w:hAnsiTheme="minorHAnsi" w:cs="Calibri"/>
                <w:sz w:val="20"/>
                <w:szCs w:val="20"/>
              </w:rPr>
              <w:t xml:space="preserve">          </w:t>
            </w:r>
            <w:r w:rsidRPr="00666D57"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</w:p>
        </w:tc>
      </w:tr>
    </w:tbl>
    <w:p w:rsidR="00F04E2B" w:rsidRPr="00393BA9" w:rsidRDefault="00F04E2B" w:rsidP="00AC3166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Nos 2400 episódios de INCS, foram isolados 2553 microrganismos, sendo 93% </w:t>
      </w:r>
      <w:r w:rsidR="00AF732E">
        <w:rPr>
          <w:rFonts w:ascii="Calibri" w:hAnsi="Calibri" w:cs="Calibri"/>
          <w:sz w:val="22"/>
          <w:szCs w:val="22"/>
        </w:rPr>
        <w:t xml:space="preserve">dos </w:t>
      </w:r>
      <w:r w:rsidRPr="00393BA9">
        <w:rPr>
          <w:rFonts w:ascii="Calibri" w:hAnsi="Calibri" w:cs="Calibri"/>
          <w:sz w:val="22"/>
          <w:szCs w:val="22"/>
        </w:rPr>
        <w:t>episódios monomicrobianos e</w:t>
      </w:r>
      <w:r w:rsidR="00AF732E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7% </w:t>
      </w:r>
      <w:r w:rsidR="00AF732E">
        <w:rPr>
          <w:rFonts w:ascii="Calibri" w:hAnsi="Calibri" w:cs="Calibri"/>
          <w:sz w:val="22"/>
          <w:szCs w:val="22"/>
        </w:rPr>
        <w:t xml:space="preserve">dos episódios, </w:t>
      </w:r>
      <w:r w:rsidRPr="00393BA9">
        <w:rPr>
          <w:rFonts w:ascii="Calibri" w:hAnsi="Calibri" w:cs="Calibri"/>
          <w:sz w:val="22"/>
          <w:szCs w:val="22"/>
        </w:rPr>
        <w:t xml:space="preserve">polimicrobianos (2 ou mais microrganismos isolados na hemocultura).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Os microrganismos Gram negativo corresponderam a 48,6%, seguindo-se os Gram positivo com 46,5%. Os</w:t>
      </w:r>
      <w:r w:rsidRPr="00393BA9">
        <w:rPr>
          <w:rFonts w:ascii="Calibri" w:hAnsi="Calibri" w:cs="Calibri"/>
          <w:i/>
          <w:sz w:val="22"/>
          <w:szCs w:val="22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>fungos leveduriformes representaram 4,6% dos agentes isolados e os anaeróbios</w:t>
      </w:r>
      <w:r w:rsidR="00AF732E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0,4%. A distribuição detalhada dos microrganismos</w:t>
      </w:r>
      <w:r w:rsidR="00AF732E">
        <w:rPr>
          <w:rFonts w:ascii="Calibri" w:hAnsi="Calibri" w:cs="Calibri"/>
          <w:sz w:val="22"/>
          <w:szCs w:val="22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 xml:space="preserve">por grupo e por origem é apresentado no anexo II. 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AF732E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Como</w:t>
      </w:r>
      <w:r w:rsidR="00666D57">
        <w:rPr>
          <w:rFonts w:ascii="Calibri" w:hAnsi="Calibri" w:cs="Calibri"/>
          <w:sz w:val="22"/>
          <w:szCs w:val="22"/>
        </w:rPr>
        <w:t xml:space="preserve"> pode ser observado na Tabela 6</w:t>
      </w:r>
      <w:r w:rsidRPr="00393BA9">
        <w:rPr>
          <w:rFonts w:ascii="Calibri" w:hAnsi="Calibri" w:cs="Calibri"/>
          <w:sz w:val="22"/>
          <w:szCs w:val="22"/>
        </w:rPr>
        <w:t xml:space="preserve">, dos 1242 microrganismos Gram negativo isolados, 68,9% eram </w:t>
      </w:r>
      <w:r w:rsidRPr="00393BA9">
        <w:rPr>
          <w:rFonts w:ascii="Calibri" w:hAnsi="Calibri" w:cs="Calibri"/>
          <w:i/>
          <w:sz w:val="22"/>
          <w:szCs w:val="22"/>
        </w:rPr>
        <w:t xml:space="preserve">Enterobacteriaceae (com predomínio de Escherichia coli e Klebsiella </w:t>
      </w:r>
      <w:r w:rsidRPr="00393BA9">
        <w:rPr>
          <w:rFonts w:ascii="Calibri" w:hAnsi="Calibri" w:cs="Calibri"/>
          <w:sz w:val="22"/>
          <w:szCs w:val="22"/>
        </w:rPr>
        <w:t>sp.</w:t>
      </w:r>
      <w:r w:rsidRPr="00393BA9">
        <w:rPr>
          <w:rFonts w:ascii="Calibri" w:hAnsi="Calibri" w:cs="Calibri"/>
          <w:i/>
          <w:sz w:val="22"/>
          <w:szCs w:val="22"/>
        </w:rPr>
        <w:t xml:space="preserve">) </w:t>
      </w:r>
      <w:r w:rsidRPr="00393BA9">
        <w:rPr>
          <w:rFonts w:ascii="Calibri" w:hAnsi="Calibri" w:cs="Calibri"/>
          <w:sz w:val="22"/>
          <w:szCs w:val="22"/>
        </w:rPr>
        <w:t xml:space="preserve">e 30,2% </w:t>
      </w:r>
      <w:r w:rsidR="00AF732E">
        <w:rPr>
          <w:rFonts w:ascii="Calibri" w:hAnsi="Calibri" w:cs="Calibri"/>
          <w:sz w:val="22"/>
          <w:szCs w:val="22"/>
        </w:rPr>
        <w:t xml:space="preserve">eram </w:t>
      </w:r>
      <w:r w:rsidRPr="00393BA9">
        <w:rPr>
          <w:rFonts w:ascii="Calibri" w:hAnsi="Calibri" w:cs="Calibri"/>
          <w:sz w:val="22"/>
          <w:szCs w:val="22"/>
        </w:rPr>
        <w:t xml:space="preserve">bacilos Gram negativos não-fermentativo (com predomínio de </w:t>
      </w:r>
      <w:r w:rsidRPr="00393BA9">
        <w:rPr>
          <w:rFonts w:ascii="Calibri" w:hAnsi="Calibri" w:cs="Calibri"/>
          <w:i/>
          <w:sz w:val="22"/>
          <w:szCs w:val="22"/>
        </w:rPr>
        <w:t>Pseudomonas aeruginosa</w:t>
      </w:r>
      <w:r w:rsidRPr="00393BA9">
        <w:rPr>
          <w:rFonts w:ascii="Calibri" w:hAnsi="Calibri" w:cs="Calibri"/>
          <w:sz w:val="22"/>
          <w:szCs w:val="22"/>
        </w:rPr>
        <w:t xml:space="preserve">).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Dos episódios de INCS por microrganismos Gram negativo</w:t>
      </w:r>
      <w:r w:rsidR="00AF732E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53,4% foram secundárias e 46,5% foram primárias (das quais 28,0% associadas a CVC).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AF732E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As bactérias Gram positivo foram maioritariamente</w:t>
      </w:r>
      <w:r w:rsidR="00284F71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</w:t>
      </w:r>
      <w:r w:rsidRPr="00393BA9">
        <w:rPr>
          <w:rFonts w:ascii="Calibri" w:hAnsi="Calibri" w:cs="Calibri"/>
          <w:i/>
          <w:sz w:val="22"/>
          <w:szCs w:val="22"/>
        </w:rPr>
        <w:t xml:space="preserve">Staphylococcus </w:t>
      </w:r>
      <w:r w:rsidRPr="00393BA9">
        <w:rPr>
          <w:rFonts w:ascii="Calibri" w:hAnsi="Calibri" w:cs="Calibri"/>
          <w:sz w:val="22"/>
          <w:szCs w:val="22"/>
        </w:rPr>
        <w:t xml:space="preserve">sp. (74,7%); seguiram-se </w:t>
      </w:r>
      <w:r w:rsidRPr="00393BA9">
        <w:rPr>
          <w:rFonts w:ascii="Calibri" w:hAnsi="Calibri" w:cs="Calibri"/>
          <w:i/>
          <w:sz w:val="22"/>
          <w:szCs w:val="22"/>
        </w:rPr>
        <w:t xml:space="preserve">Enterococcus </w:t>
      </w:r>
      <w:r w:rsidR="00AF732E">
        <w:rPr>
          <w:rFonts w:ascii="Calibri" w:hAnsi="Calibri" w:cs="Calibri"/>
          <w:sz w:val="22"/>
          <w:szCs w:val="22"/>
        </w:rPr>
        <w:t xml:space="preserve">sp. com 19,2%, </w:t>
      </w:r>
      <w:r w:rsidRPr="00393BA9">
        <w:rPr>
          <w:rFonts w:ascii="Calibri" w:hAnsi="Calibri" w:cs="Calibri"/>
          <w:i/>
          <w:sz w:val="22"/>
          <w:szCs w:val="22"/>
        </w:rPr>
        <w:t>Streptococcus viridans</w:t>
      </w:r>
      <w:r w:rsidRPr="00393BA9">
        <w:rPr>
          <w:rFonts w:ascii="Calibri" w:hAnsi="Calibri" w:cs="Calibri"/>
          <w:sz w:val="22"/>
          <w:szCs w:val="22"/>
        </w:rPr>
        <w:t xml:space="preserve"> </w:t>
      </w:r>
      <w:r w:rsidR="00AF732E">
        <w:rPr>
          <w:rFonts w:ascii="Calibri" w:hAnsi="Calibri" w:cs="Calibri"/>
          <w:sz w:val="22"/>
          <w:szCs w:val="22"/>
        </w:rPr>
        <w:t>(d</w:t>
      </w:r>
      <w:r w:rsidRPr="00393BA9">
        <w:rPr>
          <w:rFonts w:ascii="Calibri" w:hAnsi="Calibri" w:cs="Calibri"/>
          <w:sz w:val="22"/>
          <w:szCs w:val="22"/>
        </w:rPr>
        <w:t>etectado em 1,6% dos episódios</w:t>
      </w:r>
      <w:r w:rsidR="00AF732E">
        <w:rPr>
          <w:rFonts w:ascii="Calibri" w:hAnsi="Calibri" w:cs="Calibri"/>
          <w:sz w:val="22"/>
          <w:szCs w:val="22"/>
        </w:rPr>
        <w:t xml:space="preserve">). </w:t>
      </w:r>
      <w:r w:rsidRPr="00393BA9">
        <w:rPr>
          <w:rFonts w:ascii="Calibri" w:hAnsi="Calibri" w:cs="Calibri"/>
          <w:sz w:val="22"/>
          <w:szCs w:val="22"/>
        </w:rPr>
        <w:t xml:space="preserve"> </w:t>
      </w:r>
    </w:p>
    <w:p w:rsidR="00AF732E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Das  INCS por bactérias Gram positivo,  65,7% foram primárias (das quais 34,0% associadas a CVC), e 34,3% foram secundárias.  </w:t>
      </w:r>
    </w:p>
    <w:p w:rsidR="00F04E2B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i/>
          <w:sz w:val="22"/>
          <w:szCs w:val="22"/>
        </w:rPr>
        <w:lastRenderedPageBreak/>
        <w:t>Candida albicans</w:t>
      </w:r>
      <w:r w:rsidRPr="00393BA9">
        <w:rPr>
          <w:rFonts w:ascii="Calibri" w:hAnsi="Calibri" w:cs="Calibri"/>
          <w:sz w:val="22"/>
          <w:szCs w:val="22"/>
        </w:rPr>
        <w:t xml:space="preserve"> correspondeu a 54,4% dos fungos identificados</w:t>
      </w:r>
      <w:r w:rsidR="00AF732E">
        <w:rPr>
          <w:rFonts w:ascii="Calibri" w:hAnsi="Calibri" w:cs="Calibri"/>
          <w:sz w:val="22"/>
          <w:szCs w:val="22"/>
        </w:rPr>
        <w:t xml:space="preserve"> nas </w:t>
      </w:r>
      <w:r w:rsidRPr="00393BA9">
        <w:rPr>
          <w:rFonts w:ascii="Calibri" w:hAnsi="Calibri" w:cs="Calibri"/>
          <w:sz w:val="22"/>
          <w:szCs w:val="22"/>
        </w:rPr>
        <w:t>INCS. Dest</w:t>
      </w:r>
      <w:r w:rsidR="00AF732E">
        <w:rPr>
          <w:rFonts w:ascii="Calibri" w:hAnsi="Calibri" w:cs="Calibri"/>
          <w:sz w:val="22"/>
          <w:szCs w:val="22"/>
        </w:rPr>
        <w:t>a</w:t>
      </w:r>
      <w:r w:rsidRPr="00393BA9">
        <w:rPr>
          <w:rFonts w:ascii="Calibri" w:hAnsi="Calibri" w:cs="Calibri"/>
          <w:sz w:val="22"/>
          <w:szCs w:val="22"/>
        </w:rPr>
        <w:t>s, 57,9%</w:t>
      </w:r>
      <w:r w:rsidRPr="00393BA9">
        <w:rPr>
          <w:rFonts w:ascii="Calibri" w:hAnsi="Calibri" w:cs="Calibri"/>
          <w:b/>
          <w:color w:val="339966"/>
          <w:sz w:val="22"/>
          <w:szCs w:val="22"/>
        </w:rPr>
        <w:t xml:space="preserve"> </w:t>
      </w:r>
      <w:r w:rsidR="00AF732E" w:rsidRPr="00AF732E">
        <w:rPr>
          <w:rFonts w:ascii="Calibri" w:hAnsi="Calibri" w:cs="Calibri"/>
          <w:color w:val="000000" w:themeColor="text1"/>
          <w:sz w:val="22"/>
          <w:szCs w:val="22"/>
        </w:rPr>
        <w:t>eram</w:t>
      </w:r>
      <w:r w:rsidRPr="00AF73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93BA9">
        <w:rPr>
          <w:rFonts w:ascii="Calibri" w:hAnsi="Calibri" w:cs="Calibri"/>
          <w:sz w:val="22"/>
          <w:szCs w:val="22"/>
        </w:rPr>
        <w:t>primárias (das quais 42,4% associadas ao CVC) e</w:t>
      </w:r>
      <w:r w:rsidR="00AF732E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42,1% </w:t>
      </w:r>
      <w:r w:rsidR="00AF732E">
        <w:rPr>
          <w:rFonts w:ascii="Calibri" w:hAnsi="Calibri" w:cs="Calibri"/>
          <w:sz w:val="22"/>
          <w:szCs w:val="22"/>
        </w:rPr>
        <w:t xml:space="preserve">eram </w:t>
      </w:r>
      <w:r w:rsidRPr="00393BA9">
        <w:rPr>
          <w:rFonts w:ascii="Calibri" w:hAnsi="Calibri" w:cs="Calibri"/>
          <w:sz w:val="22"/>
          <w:szCs w:val="22"/>
        </w:rPr>
        <w:t xml:space="preserve">secundárias. </w:t>
      </w:r>
    </w:p>
    <w:p w:rsidR="00F04E2B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 gráfico 7 representa a distribuição dos grandes grupos de microrganismos por Serviços.</w:t>
      </w:r>
    </w:p>
    <w:p w:rsidR="00944370" w:rsidRPr="00393BA9" w:rsidRDefault="00944370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944370" w:rsidRDefault="00F04E2B" w:rsidP="00141DA7">
      <w:pPr>
        <w:pStyle w:val="Legenda"/>
        <w:rPr>
          <w:rFonts w:ascii="Calibri" w:hAnsi="Calibri" w:cs="Calibri"/>
          <w:sz w:val="20"/>
          <w:szCs w:val="20"/>
        </w:rPr>
      </w:pPr>
      <w:bookmarkStart w:id="36" w:name="_Toc345624975"/>
      <w:r w:rsidRPr="00944370">
        <w:rPr>
          <w:rFonts w:ascii="Calibri" w:hAnsi="Calibri"/>
          <w:sz w:val="20"/>
          <w:szCs w:val="20"/>
        </w:rPr>
        <w:t xml:space="preserve">Gráfico </w:t>
      </w:r>
      <w:r w:rsidR="00657B3F" w:rsidRPr="00944370">
        <w:rPr>
          <w:rFonts w:ascii="Calibri" w:hAnsi="Calibri"/>
          <w:sz w:val="20"/>
          <w:szCs w:val="20"/>
        </w:rPr>
        <w:fldChar w:fldCharType="begin"/>
      </w:r>
      <w:r w:rsidRPr="00944370">
        <w:rPr>
          <w:rFonts w:ascii="Calibri" w:hAnsi="Calibri"/>
          <w:sz w:val="20"/>
          <w:szCs w:val="20"/>
        </w:rPr>
        <w:instrText xml:space="preserve"> SEQ Gráfico \* ARABIC </w:instrText>
      </w:r>
      <w:r w:rsidR="00657B3F" w:rsidRPr="00944370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7</w:t>
      </w:r>
      <w:r w:rsidR="00657B3F" w:rsidRPr="00944370">
        <w:rPr>
          <w:rFonts w:ascii="Calibri" w:hAnsi="Calibri"/>
          <w:sz w:val="20"/>
          <w:szCs w:val="20"/>
        </w:rPr>
        <w:fldChar w:fldCharType="end"/>
      </w:r>
      <w:r w:rsidRPr="00944370">
        <w:rPr>
          <w:rFonts w:ascii="Calibri" w:hAnsi="Calibri"/>
          <w:sz w:val="20"/>
          <w:szCs w:val="20"/>
        </w:rPr>
        <w:t xml:space="preserve">: </w:t>
      </w:r>
      <w:r w:rsidRPr="00944370">
        <w:rPr>
          <w:rFonts w:ascii="Calibri" w:hAnsi="Calibri" w:cs="Calibri"/>
          <w:sz w:val="20"/>
          <w:szCs w:val="20"/>
        </w:rPr>
        <w:t>Grupos de Microrganismos isolados nas INCS, por Grupos de Serviços</w:t>
      </w:r>
      <w:r w:rsidR="00944370">
        <w:rPr>
          <w:rFonts w:ascii="Calibri" w:hAnsi="Calibri" w:cs="Calibri"/>
          <w:sz w:val="20"/>
          <w:szCs w:val="20"/>
        </w:rPr>
        <w:t xml:space="preserve">   </w:t>
      </w:r>
      <w:r w:rsidRPr="00944370">
        <w:rPr>
          <w:rFonts w:ascii="Calibri" w:hAnsi="Calibri" w:cs="Calibri"/>
          <w:sz w:val="20"/>
          <w:szCs w:val="20"/>
        </w:rPr>
        <w:t xml:space="preserve"> N=2544</w:t>
      </w:r>
      <w:bookmarkEnd w:id="36"/>
    </w:p>
    <w:p w:rsidR="00F04E2B" w:rsidRPr="00583944" w:rsidRDefault="00B22526" w:rsidP="0058394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3412FB">
        <w:rPr>
          <w:rFonts w:ascii="Calibri" w:hAnsi="Calibri" w:cs="Calibri"/>
          <w:noProof/>
          <w:color w:val="000000"/>
          <w:sz w:val="22"/>
          <w:szCs w:val="22"/>
          <w:bdr w:val="single" w:sz="4" w:space="0" w:color="auto"/>
        </w:rPr>
        <w:drawing>
          <wp:inline distT="0" distB="0" distL="0" distR="0">
            <wp:extent cx="5881262" cy="4175185"/>
            <wp:effectExtent l="19050" t="0" r="24238" b="0"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4E2B" w:rsidRPr="00393BA9" w:rsidRDefault="00F04E2B" w:rsidP="001B243C">
      <w:pPr>
        <w:jc w:val="both"/>
        <w:rPr>
          <w:rFonts w:ascii="Calibri" w:hAnsi="Calibri" w:cs="Calibri"/>
          <w:b/>
          <w:sz w:val="22"/>
          <w:szCs w:val="22"/>
        </w:rPr>
      </w:pPr>
    </w:p>
    <w:p w:rsidR="003412FB" w:rsidRDefault="003412FB" w:rsidP="001B243C">
      <w:pPr>
        <w:pStyle w:val="Ttulo2"/>
        <w:rPr>
          <w:rFonts w:ascii="Calibri" w:hAnsi="Calibri"/>
          <w:color w:val="548DD4"/>
        </w:rPr>
      </w:pPr>
      <w:bookmarkStart w:id="37" w:name="_Toc345624870"/>
    </w:p>
    <w:p w:rsidR="00F04E2B" w:rsidRPr="00393BA9" w:rsidRDefault="00F04E2B" w:rsidP="001B243C">
      <w:pPr>
        <w:pStyle w:val="Ttulo2"/>
        <w:rPr>
          <w:rFonts w:ascii="Calibri" w:hAnsi="Calibri"/>
          <w:color w:val="548DD4"/>
        </w:rPr>
      </w:pPr>
      <w:r w:rsidRPr="00393BA9">
        <w:rPr>
          <w:rFonts w:ascii="Calibri" w:hAnsi="Calibri"/>
          <w:color w:val="548DD4"/>
        </w:rPr>
        <w:t>Padrões de Resistência dos Microrganismos aos Antibióticos Testados</w:t>
      </w:r>
      <w:bookmarkEnd w:id="37"/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Na análise dos padrões de resistência foram </w:t>
      </w:r>
      <w:r w:rsidR="00583944" w:rsidRPr="00393BA9">
        <w:rPr>
          <w:rFonts w:ascii="Calibri" w:hAnsi="Calibri" w:cs="Calibri"/>
          <w:sz w:val="22"/>
          <w:szCs w:val="22"/>
        </w:rPr>
        <w:t>incluídas</w:t>
      </w:r>
      <w:r w:rsidRPr="00393BA9">
        <w:rPr>
          <w:rFonts w:ascii="Calibri" w:hAnsi="Calibri" w:cs="Calibri"/>
          <w:sz w:val="22"/>
          <w:szCs w:val="22"/>
        </w:rPr>
        <w:t xml:space="preserve"> apenas as bactérias em que se observou um número significativo de estirpes isoladas (acima de 30) e em que o número de estirpes testadas era superior a 80%.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F259CE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taxa de </w:t>
      </w:r>
      <w:r w:rsidRPr="00393BA9">
        <w:rPr>
          <w:rFonts w:ascii="Calibri" w:hAnsi="Calibri" w:cs="Calibri"/>
          <w:i/>
          <w:sz w:val="22"/>
          <w:szCs w:val="22"/>
        </w:rPr>
        <w:t xml:space="preserve">Staphylococcus aureus </w:t>
      </w:r>
      <w:r w:rsidRPr="00393BA9">
        <w:rPr>
          <w:rFonts w:ascii="Calibri" w:hAnsi="Calibri" w:cs="Calibri"/>
          <w:sz w:val="22"/>
          <w:szCs w:val="22"/>
        </w:rPr>
        <w:t>resistente à meticilina (MRSA) foi de 61,5% das estirpes testadas (57,7% no total das estirpes identificadas)</w:t>
      </w:r>
      <w:r w:rsidR="00F259CE">
        <w:rPr>
          <w:rFonts w:ascii="Calibri" w:hAnsi="Calibri" w:cs="Calibri"/>
          <w:sz w:val="22"/>
          <w:szCs w:val="22"/>
        </w:rPr>
        <w:t>.</w:t>
      </w:r>
    </w:p>
    <w:p w:rsidR="00F259CE" w:rsidRDefault="00F259CE" w:rsidP="001B243C">
      <w:pPr>
        <w:jc w:val="both"/>
        <w:rPr>
          <w:rFonts w:ascii="Calibri" w:hAnsi="Calibri" w:cs="Calibri"/>
          <w:sz w:val="22"/>
          <w:szCs w:val="22"/>
        </w:rPr>
      </w:pPr>
    </w:p>
    <w:p w:rsidR="00F259CE" w:rsidRDefault="00F259CE" w:rsidP="001B2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taxa de resistência</w:t>
      </w:r>
      <w:r w:rsidR="00F04E2B" w:rsidRPr="00393BA9">
        <w:rPr>
          <w:rFonts w:ascii="Calibri" w:hAnsi="Calibri" w:cs="Calibri"/>
          <w:sz w:val="22"/>
          <w:szCs w:val="22"/>
        </w:rPr>
        <w:t xml:space="preserve"> de </w:t>
      </w:r>
      <w:r w:rsidR="00F04E2B" w:rsidRPr="00393BA9">
        <w:rPr>
          <w:rFonts w:ascii="Calibri" w:hAnsi="Calibri" w:cs="Calibri"/>
          <w:i/>
          <w:sz w:val="22"/>
          <w:szCs w:val="22"/>
        </w:rPr>
        <w:t>Acinetobacter</w:t>
      </w:r>
      <w:r w:rsidR="00583944">
        <w:rPr>
          <w:rFonts w:ascii="Calibri" w:hAnsi="Calibri" w:cs="Calibri"/>
          <w:i/>
          <w:sz w:val="22"/>
          <w:szCs w:val="22"/>
        </w:rPr>
        <w:t xml:space="preserve"> baumannii</w:t>
      </w:r>
      <w:r w:rsidR="00F04E2B" w:rsidRPr="00393BA9">
        <w:rPr>
          <w:rFonts w:ascii="Calibri" w:hAnsi="Calibri" w:cs="Calibri"/>
          <w:i/>
          <w:sz w:val="22"/>
          <w:szCs w:val="22"/>
        </w:rPr>
        <w:t xml:space="preserve"> </w:t>
      </w:r>
      <w:r w:rsidR="00F04E2B" w:rsidRPr="00393BA9">
        <w:rPr>
          <w:rFonts w:ascii="Calibri" w:hAnsi="Calibri" w:cs="Calibri"/>
          <w:sz w:val="22"/>
          <w:szCs w:val="22"/>
        </w:rPr>
        <w:t>às Cefolosporinas de terceira geração</w:t>
      </w:r>
      <w:r>
        <w:rPr>
          <w:rFonts w:ascii="Calibri" w:hAnsi="Calibri" w:cs="Calibri"/>
          <w:sz w:val="22"/>
          <w:szCs w:val="22"/>
        </w:rPr>
        <w:t>,</w:t>
      </w:r>
      <w:r w:rsidR="00F04E2B" w:rsidRPr="00393BA9">
        <w:rPr>
          <w:rFonts w:ascii="Calibri" w:hAnsi="Calibri" w:cs="Calibri"/>
          <w:sz w:val="22"/>
          <w:szCs w:val="22"/>
        </w:rPr>
        <w:t xml:space="preserve"> fo</w:t>
      </w:r>
      <w:r>
        <w:rPr>
          <w:rFonts w:ascii="Calibri" w:hAnsi="Calibri" w:cs="Calibri"/>
          <w:sz w:val="22"/>
          <w:szCs w:val="22"/>
        </w:rPr>
        <w:t xml:space="preserve">i </w:t>
      </w:r>
      <w:r w:rsidR="00F04E2B" w:rsidRPr="00393BA9">
        <w:rPr>
          <w:rFonts w:ascii="Calibri" w:hAnsi="Calibri" w:cs="Calibri"/>
          <w:sz w:val="22"/>
          <w:szCs w:val="22"/>
        </w:rPr>
        <w:t>de 89,8 das estirpes testadas (79,1% no total das estirpes) e superiores a 90% para os carbapenemes (71,6% no total de estirpes).</w:t>
      </w:r>
    </w:p>
    <w:p w:rsidR="00F259CE" w:rsidRDefault="00F259CE" w:rsidP="001B243C">
      <w:pPr>
        <w:jc w:val="both"/>
        <w:rPr>
          <w:rFonts w:ascii="Calibri" w:hAnsi="Calibri" w:cs="Calibri"/>
          <w:sz w:val="22"/>
          <w:szCs w:val="22"/>
        </w:rPr>
      </w:pPr>
    </w:p>
    <w:p w:rsidR="00F259CE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Verfificou-se ainda</w:t>
      </w:r>
      <w:r w:rsidR="00F259CE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a existência de 6,4% de estirpes resistentes à colistina (4,5% no total de estirpes testadas).</w:t>
      </w:r>
    </w:p>
    <w:p w:rsidR="00F259CE" w:rsidRDefault="00F259CE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b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Um número apreciável </w:t>
      </w:r>
      <w:r w:rsidR="00F259CE">
        <w:rPr>
          <w:rFonts w:ascii="Calibri" w:hAnsi="Calibri" w:cs="Calibri"/>
          <w:sz w:val="22"/>
          <w:szCs w:val="22"/>
        </w:rPr>
        <w:t>de</w:t>
      </w:r>
      <w:r w:rsidRPr="00393BA9">
        <w:rPr>
          <w:rFonts w:ascii="Calibri" w:hAnsi="Calibri" w:cs="Calibri"/>
          <w:sz w:val="22"/>
          <w:szCs w:val="22"/>
        </w:rPr>
        <w:t xml:space="preserve"> estirpes testadas</w:t>
      </w:r>
      <w:r w:rsidR="00F259CE">
        <w:rPr>
          <w:rFonts w:ascii="Calibri" w:hAnsi="Calibri" w:cs="Calibri"/>
          <w:sz w:val="22"/>
          <w:szCs w:val="22"/>
        </w:rPr>
        <w:t xml:space="preserve"> </w:t>
      </w:r>
      <w:r w:rsidR="00F259CE" w:rsidRPr="00393BA9">
        <w:rPr>
          <w:rFonts w:ascii="Calibri" w:hAnsi="Calibri" w:cs="Calibri"/>
          <w:sz w:val="22"/>
          <w:szCs w:val="22"/>
        </w:rPr>
        <w:t>(30,3%</w:t>
      </w:r>
      <w:r w:rsidR="00F259CE">
        <w:rPr>
          <w:rFonts w:ascii="Calibri" w:hAnsi="Calibri" w:cs="Calibri"/>
          <w:sz w:val="22"/>
          <w:szCs w:val="22"/>
        </w:rPr>
        <w:t xml:space="preserve"> - 28,9% do total de estirpes</w:t>
      </w:r>
      <w:r w:rsidRPr="00393BA9">
        <w:rPr>
          <w:rFonts w:ascii="Calibri" w:hAnsi="Calibri" w:cs="Calibri"/>
          <w:sz w:val="22"/>
          <w:szCs w:val="22"/>
        </w:rPr>
        <w:t xml:space="preserve"> de </w:t>
      </w:r>
      <w:r w:rsidRPr="00393BA9">
        <w:rPr>
          <w:rFonts w:ascii="Calibri" w:hAnsi="Calibri" w:cs="Calibri"/>
          <w:i/>
          <w:sz w:val="22"/>
          <w:szCs w:val="22"/>
        </w:rPr>
        <w:t>Klebsiella pneumoniae</w:t>
      </w:r>
      <w:r w:rsidR="00F259CE">
        <w:rPr>
          <w:rFonts w:ascii="Calibri" w:hAnsi="Calibri" w:cs="Calibri"/>
          <w:i/>
          <w:sz w:val="22"/>
          <w:szCs w:val="22"/>
        </w:rPr>
        <w:t>), eram</w:t>
      </w:r>
      <w:r w:rsidRPr="00393BA9">
        <w:rPr>
          <w:rFonts w:ascii="Calibri" w:hAnsi="Calibri" w:cs="Calibri"/>
          <w:sz w:val="22"/>
          <w:szCs w:val="22"/>
        </w:rPr>
        <w:t xml:space="preserve"> produtoras de betalactamase de espectro extendido</w:t>
      </w:r>
      <w:r w:rsidR="00F259CE">
        <w:rPr>
          <w:rFonts w:ascii="Calibri" w:hAnsi="Calibri" w:cs="Calibri"/>
          <w:sz w:val="22"/>
          <w:szCs w:val="22"/>
        </w:rPr>
        <w:t xml:space="preserve"> (ESBL)</w:t>
      </w:r>
      <w:r w:rsidRPr="00393BA9">
        <w:rPr>
          <w:rFonts w:ascii="Calibri" w:hAnsi="Calibri" w:cs="Calibri"/>
          <w:sz w:val="22"/>
          <w:szCs w:val="22"/>
        </w:rPr>
        <w:t>.</w:t>
      </w:r>
    </w:p>
    <w:p w:rsidR="00F259CE" w:rsidRDefault="00F259CE" w:rsidP="00393BA9">
      <w:pPr>
        <w:pStyle w:val="Legenda"/>
        <w:jc w:val="both"/>
        <w:rPr>
          <w:rFonts w:ascii="Calibri" w:hAnsi="Calibri"/>
          <w:sz w:val="20"/>
          <w:szCs w:val="20"/>
        </w:rPr>
      </w:pPr>
      <w:bookmarkStart w:id="38" w:name="_Toc345624929"/>
    </w:p>
    <w:p w:rsidR="00F259CE" w:rsidRDefault="00F259CE" w:rsidP="00393BA9">
      <w:pPr>
        <w:pStyle w:val="Legenda"/>
        <w:jc w:val="both"/>
        <w:rPr>
          <w:rFonts w:ascii="Calibri" w:hAnsi="Calibri"/>
          <w:sz w:val="20"/>
          <w:szCs w:val="20"/>
        </w:rPr>
      </w:pPr>
    </w:p>
    <w:p w:rsidR="00F04E2B" w:rsidRPr="00583944" w:rsidRDefault="00F04E2B" w:rsidP="00393BA9">
      <w:pPr>
        <w:pStyle w:val="Legenda"/>
        <w:jc w:val="both"/>
        <w:rPr>
          <w:rFonts w:ascii="Calibri" w:hAnsi="Calibri" w:cs="Calibri"/>
          <w:color w:val="99CCFF"/>
          <w:sz w:val="20"/>
          <w:szCs w:val="20"/>
        </w:rPr>
      </w:pPr>
      <w:r w:rsidRPr="00583944">
        <w:rPr>
          <w:rFonts w:ascii="Calibri" w:hAnsi="Calibri"/>
          <w:sz w:val="20"/>
          <w:szCs w:val="20"/>
        </w:rPr>
        <w:lastRenderedPageBreak/>
        <w:t xml:space="preserve">Tabela </w:t>
      </w:r>
      <w:r w:rsidR="00657B3F" w:rsidRPr="00583944">
        <w:rPr>
          <w:rFonts w:ascii="Calibri" w:hAnsi="Calibri"/>
          <w:sz w:val="20"/>
          <w:szCs w:val="20"/>
        </w:rPr>
        <w:fldChar w:fldCharType="begin"/>
      </w:r>
      <w:r w:rsidRPr="00583944">
        <w:rPr>
          <w:rFonts w:ascii="Calibri" w:hAnsi="Calibri"/>
          <w:sz w:val="20"/>
          <w:szCs w:val="20"/>
        </w:rPr>
        <w:instrText xml:space="preserve"> SEQ Tabela \* ARABIC </w:instrText>
      </w:r>
      <w:r w:rsidR="00657B3F" w:rsidRPr="00583944">
        <w:rPr>
          <w:rFonts w:ascii="Calibri" w:hAnsi="Calibri"/>
          <w:sz w:val="20"/>
          <w:szCs w:val="20"/>
        </w:rPr>
        <w:fldChar w:fldCharType="separate"/>
      </w:r>
      <w:r w:rsidR="004676CE">
        <w:rPr>
          <w:rFonts w:ascii="Calibri" w:hAnsi="Calibri"/>
          <w:noProof/>
          <w:sz w:val="20"/>
          <w:szCs w:val="20"/>
        </w:rPr>
        <w:t>7</w:t>
      </w:r>
      <w:r w:rsidR="00657B3F" w:rsidRPr="00583944">
        <w:rPr>
          <w:rFonts w:ascii="Calibri" w:hAnsi="Calibri"/>
          <w:sz w:val="20"/>
          <w:szCs w:val="20"/>
        </w:rPr>
        <w:fldChar w:fldCharType="end"/>
      </w:r>
      <w:r w:rsidRPr="00583944">
        <w:rPr>
          <w:rFonts w:ascii="Calibri" w:hAnsi="Calibri"/>
          <w:sz w:val="20"/>
          <w:szCs w:val="20"/>
        </w:rPr>
        <w:t xml:space="preserve">: </w:t>
      </w:r>
      <w:r w:rsidRPr="00583944">
        <w:rPr>
          <w:rFonts w:ascii="Calibri" w:hAnsi="Calibri"/>
          <w:b w:val="0"/>
          <w:sz w:val="20"/>
          <w:szCs w:val="20"/>
        </w:rPr>
        <w:t xml:space="preserve">Resumo dos Padrões de resistência aos antimicrobianos em microrganismos epidemiologicamente significativos </w:t>
      </w:r>
      <w:r w:rsidRPr="00583944">
        <w:rPr>
          <w:rFonts w:ascii="Calibri" w:hAnsi="Calibri" w:cs="Calibri"/>
          <w:b w:val="0"/>
          <w:sz w:val="20"/>
          <w:szCs w:val="20"/>
        </w:rPr>
        <w:t>(comparação com os dados de 2010)</w:t>
      </w:r>
      <w:bookmarkEnd w:id="38"/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227"/>
        <w:gridCol w:w="2268"/>
        <w:gridCol w:w="2268"/>
        <w:gridCol w:w="1667"/>
      </w:tblGrid>
      <w:tr w:rsidR="00F04E2B" w:rsidRPr="00583944" w:rsidTr="009A03BD">
        <w:tc>
          <w:tcPr>
            <w:tcW w:w="3227" w:type="dxa"/>
            <w:tcBorders>
              <w:left w:val="nil"/>
              <w:bottom w:val="single" w:sz="18" w:space="0" w:color="4BACC6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Microrganismo</w:t>
            </w:r>
          </w:p>
        </w:tc>
        <w:tc>
          <w:tcPr>
            <w:tcW w:w="2268" w:type="dxa"/>
            <w:tcBorders>
              <w:bottom w:val="single" w:sz="18" w:space="0" w:color="4BACC6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Antimicrobiano</w:t>
            </w:r>
          </w:p>
        </w:tc>
        <w:tc>
          <w:tcPr>
            <w:tcW w:w="2268" w:type="dxa"/>
            <w:tcBorders>
              <w:bottom w:val="single" w:sz="18" w:space="0" w:color="4BACC6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Resistência/testados</w:t>
            </w:r>
          </w:p>
        </w:tc>
        <w:tc>
          <w:tcPr>
            <w:tcW w:w="1667" w:type="dxa"/>
            <w:tcBorders>
              <w:bottom w:val="single" w:sz="18" w:space="0" w:color="4BACC6"/>
              <w:right w:val="nil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Resistência/total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Staphylococcus aureus 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 xml:space="preserve">(492)                              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Meticilina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Linezolide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Tigeciclina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61,5%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(65,7% em 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0,9 %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1,3%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 57,7% 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0,6%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0,4%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Staphylococcus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 xml:space="preserve">coagul. neg.   (396)        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Meticilina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85.0%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(86,9% em 2010)</w:t>
            </w:r>
          </w:p>
        </w:tc>
        <w:tc>
          <w:tcPr>
            <w:tcW w:w="1667" w:type="dxa"/>
            <w:tcBorders>
              <w:right w:val="nil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77,7%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Enterococcus faecium 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Vancomicina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19,6% 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(19% em 2010)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19,1%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Escherichia coli   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>(346)</w:t>
            </w: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Amoxicilina/Ác. Clav.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Cefalosporinas 3.ªG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ESBL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20,6%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(26,6%-2010)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20,5%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21,3%</w:t>
            </w:r>
          </w:p>
        </w:tc>
        <w:tc>
          <w:tcPr>
            <w:tcW w:w="1667" w:type="dxa"/>
            <w:tcBorders>
              <w:right w:val="nil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19,7%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13,0%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14,7%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Klebsiella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 xml:space="preserve">spp    </w:t>
            </w: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>(273)</w:t>
            </w: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Amoxicilina/Ác. Clav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Cefalosporinas 3.ªG.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ESBL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33,3%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(31,1%-2010)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29,9%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30,3%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(40%-2010)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bCs/>
                <w:sz w:val="20"/>
                <w:szCs w:val="20"/>
              </w:rPr>
              <w:t>31,1%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83944">
              <w:rPr>
                <w:rFonts w:ascii="Calibri" w:hAnsi="Calibri" w:cs="Calibri"/>
                <w:bCs/>
                <w:sz w:val="20"/>
                <w:szCs w:val="20"/>
              </w:rPr>
              <w:t>28,6%</w:t>
            </w:r>
            <w:r w:rsidRPr="0058394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28,9%</w:t>
            </w:r>
            <w:r w:rsidRPr="0058394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>Enterobacter</w:t>
            </w:r>
            <w:r w:rsidRPr="00583944">
              <w:rPr>
                <w:rFonts w:ascii="Calibri" w:hAnsi="Calibri" w:cs="Calibri"/>
                <w:sz w:val="20"/>
                <w:szCs w:val="20"/>
              </w:rPr>
              <w:t xml:space="preserve"> spp (102)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Cefalosporinas 3.ªG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ESBL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27,9%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12,9%</w:t>
            </w:r>
          </w:p>
        </w:tc>
        <w:tc>
          <w:tcPr>
            <w:tcW w:w="1667" w:type="dxa"/>
            <w:tcBorders>
              <w:right w:val="nil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25,5%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11,7%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  <w:shd w:val="clear" w:color="auto" w:fill="D2EAF1"/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Acinetobacter baumannii 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 xml:space="preserve">(67)                               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630F73">
            <w:pPr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Cefalosporinas 3.ªG Carbapenemes</w:t>
            </w:r>
          </w:p>
          <w:p w:rsidR="00F04E2B" w:rsidRPr="00583944" w:rsidRDefault="00F04E2B" w:rsidP="009A03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Colistina</w:t>
            </w:r>
          </w:p>
        </w:tc>
        <w:tc>
          <w:tcPr>
            <w:tcW w:w="2268" w:type="dxa"/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89,8%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(93,9%-2010)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90,6%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(90,7%-2010)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6,4% 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D2EAF1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79,1%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71,6%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4,5%</w:t>
            </w:r>
          </w:p>
        </w:tc>
      </w:tr>
      <w:tr w:rsidR="00F04E2B" w:rsidRPr="00583944" w:rsidTr="009A03BD">
        <w:tc>
          <w:tcPr>
            <w:tcW w:w="3227" w:type="dxa"/>
            <w:tcBorders>
              <w:left w:val="nil"/>
            </w:tcBorders>
          </w:tcPr>
          <w:p w:rsidR="00F04E2B" w:rsidRPr="00583944" w:rsidRDefault="00F04E2B" w:rsidP="009A03B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Pseudomonas aeruginosa    </w:t>
            </w:r>
            <w:r w:rsidRPr="00583944">
              <w:rPr>
                <w:rFonts w:ascii="Calibri" w:hAnsi="Calibri" w:cs="Calibri"/>
                <w:sz w:val="20"/>
                <w:szCs w:val="20"/>
              </w:rPr>
              <w:t>(260)</w:t>
            </w:r>
            <w:r w:rsidRPr="00583944">
              <w:rPr>
                <w:rFonts w:ascii="Calibri" w:hAnsi="Calibri" w:cs="Calibri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</w:tcPr>
          <w:p w:rsidR="00F04E2B" w:rsidRPr="00583944" w:rsidRDefault="00F04E2B" w:rsidP="00630F73">
            <w:pPr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Cefalosporinas 3.ª G Carbapenemes</w:t>
            </w:r>
          </w:p>
        </w:tc>
        <w:tc>
          <w:tcPr>
            <w:tcW w:w="2268" w:type="dxa"/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19,8%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(15,3%-2010)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 xml:space="preserve">17,9% </w:t>
            </w:r>
            <w:r w:rsidRPr="00583944">
              <w:rPr>
                <w:rFonts w:ascii="Calibri" w:hAnsi="Calibri" w:cs="Calibri"/>
                <w:b/>
                <w:sz w:val="20"/>
                <w:szCs w:val="20"/>
              </w:rPr>
              <w:t>(14,7%-2010)</w:t>
            </w:r>
          </w:p>
        </w:tc>
        <w:tc>
          <w:tcPr>
            <w:tcW w:w="1667" w:type="dxa"/>
            <w:tcBorders>
              <w:right w:val="nil"/>
            </w:tcBorders>
          </w:tcPr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16,9%</w:t>
            </w:r>
          </w:p>
          <w:p w:rsidR="00F04E2B" w:rsidRPr="00583944" w:rsidRDefault="00F04E2B" w:rsidP="009A03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944">
              <w:rPr>
                <w:rFonts w:ascii="Calibri" w:hAnsi="Calibri" w:cs="Calibri"/>
                <w:sz w:val="20"/>
                <w:szCs w:val="20"/>
              </w:rPr>
              <w:t>15,4%</w:t>
            </w:r>
          </w:p>
        </w:tc>
      </w:tr>
    </w:tbl>
    <w:p w:rsidR="00C475A6" w:rsidRDefault="00C475A6" w:rsidP="00445AB4">
      <w:pPr>
        <w:pStyle w:val="Ttulo1"/>
        <w:rPr>
          <w:rFonts w:ascii="Calibri" w:hAnsi="Calibri"/>
          <w:b/>
          <w:color w:val="548DD4"/>
        </w:rPr>
      </w:pPr>
      <w:bookmarkStart w:id="39" w:name="_Toc345624871"/>
    </w:p>
    <w:p w:rsidR="00C475A6" w:rsidRDefault="00C475A6" w:rsidP="00445AB4">
      <w:pPr>
        <w:pStyle w:val="Ttulo1"/>
        <w:rPr>
          <w:rFonts w:ascii="Calibri" w:hAnsi="Calibri"/>
          <w:b/>
          <w:color w:val="548DD4"/>
        </w:rPr>
      </w:pPr>
    </w:p>
    <w:p w:rsidR="00AF732E" w:rsidRPr="00AF732E" w:rsidRDefault="00AF732E" w:rsidP="00AF732E">
      <w:pPr>
        <w:rPr>
          <w:lang w:eastAsia="en-US"/>
        </w:rPr>
      </w:pPr>
    </w:p>
    <w:p w:rsidR="00F04E2B" w:rsidRPr="00393BA9" w:rsidRDefault="00F04E2B" w:rsidP="00445AB4">
      <w:pPr>
        <w:pStyle w:val="Ttulo1"/>
        <w:rPr>
          <w:rFonts w:ascii="Calibri" w:hAnsi="Calibri"/>
          <w:b/>
          <w:color w:val="548DD4"/>
        </w:rPr>
      </w:pPr>
      <w:r w:rsidRPr="00393BA9">
        <w:rPr>
          <w:rFonts w:ascii="Calibri" w:hAnsi="Calibri"/>
          <w:b/>
          <w:color w:val="548DD4"/>
        </w:rPr>
        <w:t>DISCUSSÃO DOS RESULTADOS E CONCLUSÕES</w:t>
      </w:r>
      <w:bookmarkEnd w:id="39"/>
    </w:p>
    <w:p w:rsidR="00C475A6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É necessário salientar algumas limitações nos dados apresentados neste relatório. Embora a participação neste estudo de VE de INCS em 2011 seja significativamente superior a 2010 (19 </w:t>
      </w:r>
      <w:r w:rsidRPr="00393BA9">
        <w:rPr>
          <w:rFonts w:ascii="Calibri" w:hAnsi="Calibri" w:cs="Calibri"/>
          <w:i/>
          <w:sz w:val="22"/>
          <w:szCs w:val="22"/>
        </w:rPr>
        <w:t>versus</w:t>
      </w:r>
      <w:r w:rsidRPr="00393BA9">
        <w:rPr>
          <w:rFonts w:ascii="Calibri" w:hAnsi="Calibri" w:cs="Calibri"/>
          <w:sz w:val="22"/>
          <w:szCs w:val="22"/>
        </w:rPr>
        <w:t xml:space="preserve"> 41 hospitais) representa apenas 36,7% dos hospitais públicos e cinco hospitais privados. </w:t>
      </w:r>
    </w:p>
    <w:p w:rsidR="00C475A6" w:rsidRDefault="00C475A6" w:rsidP="001B243C">
      <w:pPr>
        <w:jc w:val="both"/>
        <w:rPr>
          <w:rFonts w:ascii="Calibri" w:hAnsi="Calibri" w:cs="Calibri"/>
          <w:sz w:val="22"/>
          <w:szCs w:val="22"/>
        </w:rPr>
      </w:pPr>
    </w:p>
    <w:p w:rsidR="00C475A6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 distribuição regional dos hospitais aderentes não é homogénea e, ainda, apenas pouco mais de metade (58,3%) destes hospitais monitorizaram todos os doentes internados. Por outro lado, a maior ou menor experiência dos profissionais de controlo de infeção na recolha de informação para confirmar a presença de INCS assim como a sua origem primária ou secundária a infeção noutro local, podem determinar a qualidade da informação obtida. </w:t>
      </w:r>
    </w:p>
    <w:p w:rsidR="00C475A6" w:rsidRDefault="00C475A6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Adicionalmente, os denominadores de cada antibiótico variam porque nem todos os hospitais testam e reportam todos os antibióticos e os profissionais de controlo de infeção nem sempre têm acesso à informação completa dos antibiogramas, mas apenas ao reporte seletivo fornecido aos clínicos. Mesmo assim, os dados fornecem informação útil que poderá ser utilizada no planeamento de intervenções preventivas.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D82636" w:rsidP="001B243C">
      <w:pPr>
        <w:jc w:val="both"/>
        <w:rPr>
          <w:rFonts w:ascii="Calibri" w:hAnsi="Calibri" w:cs="Calibri"/>
          <w:sz w:val="22"/>
          <w:szCs w:val="22"/>
        </w:rPr>
      </w:pPr>
      <w:r w:rsidRPr="00D82636">
        <w:rPr>
          <w:rFonts w:ascii="Calibri" w:hAnsi="Calibri" w:cs="Calibri"/>
          <w:sz w:val="22"/>
          <w:szCs w:val="22"/>
        </w:rPr>
        <w:t>N</w:t>
      </w:r>
      <w:r w:rsidR="00F04E2B" w:rsidRPr="00D82636">
        <w:rPr>
          <w:rFonts w:ascii="Calibri" w:hAnsi="Calibri" w:cs="Calibri"/>
          <w:sz w:val="22"/>
          <w:szCs w:val="22"/>
        </w:rPr>
        <w:t>a análise por serviços, verifica-se uma redução significativa de INCS associada a CVC nas UCI (3,5</w:t>
      </w:r>
      <w:r w:rsidR="00F04E2B" w:rsidRPr="00D82636">
        <w:rPr>
          <w:rFonts w:ascii="Calibri" w:hAnsi="Calibri" w:cs="Calibri"/>
          <w:color w:val="000000"/>
          <w:sz w:val="22"/>
          <w:szCs w:val="22"/>
        </w:rPr>
        <w:t xml:space="preserve">‰ </w:t>
      </w:r>
      <w:r w:rsidR="00F04E2B" w:rsidRPr="00D82636">
        <w:rPr>
          <w:rFonts w:ascii="Calibri" w:hAnsi="Calibri" w:cs="Calibri"/>
          <w:sz w:val="22"/>
          <w:szCs w:val="22"/>
        </w:rPr>
        <w:t>em 2007 para 1,5</w:t>
      </w:r>
      <w:r w:rsidR="00F04E2B" w:rsidRPr="00D82636">
        <w:rPr>
          <w:rFonts w:ascii="Calibri" w:hAnsi="Calibri" w:cs="Calibri"/>
          <w:color w:val="000000"/>
          <w:sz w:val="22"/>
          <w:szCs w:val="22"/>
        </w:rPr>
        <w:t>‰</w:t>
      </w:r>
      <w:r w:rsidR="00F04E2B" w:rsidRPr="00D82636">
        <w:rPr>
          <w:rFonts w:ascii="Calibri" w:hAnsi="Calibri" w:cs="Calibri"/>
          <w:sz w:val="22"/>
          <w:szCs w:val="22"/>
        </w:rPr>
        <w:t xml:space="preserve"> em 2011) e que é confirmado noutros programas de VE (HELICS-UCI).</w:t>
      </w:r>
      <w:r>
        <w:rPr>
          <w:rFonts w:ascii="Calibri" w:hAnsi="Calibri" w:cs="Calibri"/>
          <w:sz w:val="22"/>
          <w:szCs w:val="22"/>
        </w:rPr>
        <w:t xml:space="preserve"> </w:t>
      </w:r>
      <w:r w:rsidR="00F04E2B" w:rsidRPr="00393BA9">
        <w:rPr>
          <w:rFonts w:ascii="Calibri" w:hAnsi="Calibri" w:cs="Calibri"/>
          <w:sz w:val="22"/>
          <w:szCs w:val="22"/>
        </w:rPr>
        <w:t>Um achado importante é a observação de taxas mais elevadas de INCS associadas a CVC em serviços como Medicina Interna e Cirurgia Geral em relação às taxas observadas</w:t>
      </w:r>
      <w:r w:rsidR="00552231">
        <w:rPr>
          <w:rFonts w:ascii="Calibri" w:hAnsi="Calibri" w:cs="Calibri"/>
          <w:sz w:val="22"/>
          <w:szCs w:val="22"/>
        </w:rPr>
        <w:t>, por exemplo,</w:t>
      </w:r>
      <w:r w:rsidR="00F04E2B" w:rsidRPr="00393BA9">
        <w:rPr>
          <w:rFonts w:ascii="Calibri" w:hAnsi="Calibri" w:cs="Calibri"/>
          <w:sz w:val="22"/>
          <w:szCs w:val="22"/>
        </w:rPr>
        <w:t xml:space="preserve"> nas UCI. A utilização de CVC nesses serviços é baixa, pelo que pode haver dificuldade em implementar as boas práticas nestas circunstâncias. 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F346F4" w:rsidRDefault="00F346F4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</w:p>
    <w:p w:rsidR="00D051F0" w:rsidRDefault="00D051F0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</w:p>
    <w:p w:rsidR="00D051F0" w:rsidRDefault="00D051F0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</w:p>
    <w:p w:rsidR="00F346F4" w:rsidRDefault="00F346F4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</w:t>
      </w:r>
      <w:r w:rsidR="00F04E2B" w:rsidRPr="00393BA9">
        <w:rPr>
          <w:rFonts w:ascii="Calibri" w:hAnsi="Calibri" w:cs="Calibri"/>
          <w:sz w:val="22"/>
          <w:szCs w:val="22"/>
        </w:rPr>
        <w:t>E representa uma carga de trabalho significativa para as equipas técnicas de controlo de infeção. A fim de justificar os recursos despendidos nestes programas, é necessário que a informação produzida seja utilizada</w:t>
      </w:r>
      <w:r>
        <w:rPr>
          <w:rFonts w:ascii="Calibri" w:hAnsi="Calibri" w:cs="Calibri"/>
          <w:sz w:val="22"/>
          <w:szCs w:val="22"/>
        </w:rPr>
        <w:t>,</w:t>
      </w:r>
      <w:r w:rsidR="00F04E2B" w:rsidRPr="00393BA9">
        <w:rPr>
          <w:rFonts w:ascii="Calibri" w:hAnsi="Calibri" w:cs="Calibri"/>
          <w:sz w:val="22"/>
          <w:szCs w:val="22"/>
        </w:rPr>
        <w:t xml:space="preserve"> para planeamento e implementação de medidas para reduzir as infeções evitáveis. </w:t>
      </w:r>
    </w:p>
    <w:p w:rsidR="00F346F4" w:rsidRDefault="00F346F4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pStyle w:val="Corpodetexto3"/>
        <w:spacing w:line="276" w:lineRule="auto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Os dados observados em 2011 têm algumas implicações no planeamento das atividades de VE das CCI</w:t>
      </w:r>
      <w:r w:rsidR="008A0489">
        <w:rPr>
          <w:rFonts w:ascii="Calibri" w:hAnsi="Calibri" w:cs="Calibri"/>
          <w:sz w:val="22"/>
          <w:szCs w:val="22"/>
        </w:rPr>
        <w:t>:</w:t>
      </w:r>
    </w:p>
    <w:p w:rsidR="00F04E2B" w:rsidRPr="00393BA9" w:rsidRDefault="00F04E2B" w:rsidP="001B243C">
      <w:pPr>
        <w:pStyle w:val="Corpodetexto3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Necessidade de estratégias de intervenção para prevenção de INCS associada a CVC nos serviços de Medicina e Cirurgia e Especialidades</w:t>
      </w:r>
    </w:p>
    <w:p w:rsidR="00F04E2B" w:rsidRPr="00393BA9" w:rsidRDefault="00F04E2B" w:rsidP="001B243C">
      <w:pPr>
        <w:pStyle w:val="Corpodetexto3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Maior acompanhamento dos doentes com internamento mais prolongado já que a frequência de INCS aumenta com o tempo de internamento</w:t>
      </w:r>
    </w:p>
    <w:p w:rsidR="00F04E2B" w:rsidRPr="00393BA9" w:rsidRDefault="00F04E2B" w:rsidP="001B243C">
      <w:pPr>
        <w:pStyle w:val="Corpodetexto3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 xml:space="preserve">Considerando a taxa significativa de INCS secundárias a infeção noutro local e sendo os locais mais frequentes as vias respiratórias e urinárias, </w:t>
      </w:r>
      <w:r w:rsidR="00050322" w:rsidRPr="00393BA9">
        <w:rPr>
          <w:rFonts w:ascii="Calibri" w:hAnsi="Calibri" w:cs="Calibri"/>
          <w:sz w:val="22"/>
          <w:szCs w:val="22"/>
        </w:rPr>
        <w:t>justifica-se</w:t>
      </w:r>
      <w:r w:rsidRPr="00393BA9">
        <w:rPr>
          <w:rFonts w:ascii="Calibri" w:hAnsi="Calibri" w:cs="Calibri"/>
          <w:sz w:val="22"/>
          <w:szCs w:val="22"/>
        </w:rPr>
        <w:t xml:space="preserve"> uma melhor identificação dos fatores de risco nestes dois grupos de doentes</w:t>
      </w:r>
    </w:p>
    <w:p w:rsidR="00F04E2B" w:rsidRPr="00393BA9" w:rsidRDefault="00F04E2B" w:rsidP="001B243C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Padrões de resistências que indicam uma intervenção urgente nas práticas de utilização de antimicrobianos</w:t>
      </w:r>
    </w:p>
    <w:p w:rsidR="00F04E2B" w:rsidRPr="00393BA9" w:rsidRDefault="00F04E2B" w:rsidP="001B243C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Maior envolvimento do laboratório de Microbiologia</w:t>
      </w:r>
      <w:r w:rsidR="00D051F0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a fim de que seja possível obter informações importantes sobre </w:t>
      </w:r>
      <w:r w:rsidR="00D051F0">
        <w:rPr>
          <w:rFonts w:ascii="Calibri" w:hAnsi="Calibri" w:cs="Calibri"/>
          <w:sz w:val="22"/>
          <w:szCs w:val="22"/>
        </w:rPr>
        <w:t xml:space="preserve">os </w:t>
      </w:r>
      <w:r w:rsidRPr="00393BA9">
        <w:rPr>
          <w:rFonts w:ascii="Calibri" w:hAnsi="Calibri" w:cs="Calibri"/>
          <w:sz w:val="22"/>
          <w:szCs w:val="22"/>
        </w:rPr>
        <w:t>marcadores epidemiológicos de forma consistente, permitindo o cálculo rigoroso das taxas de resistência</w:t>
      </w:r>
      <w:r w:rsidR="00D051F0">
        <w:rPr>
          <w:rFonts w:ascii="Calibri" w:hAnsi="Calibri" w:cs="Calibri"/>
          <w:sz w:val="22"/>
          <w:szCs w:val="22"/>
        </w:rPr>
        <w:t>s antimicrobianas</w:t>
      </w:r>
      <w:r w:rsidRPr="00393BA9">
        <w:rPr>
          <w:rFonts w:ascii="Calibri" w:hAnsi="Calibri" w:cs="Calibri"/>
          <w:sz w:val="22"/>
          <w:szCs w:val="22"/>
        </w:rPr>
        <w:t>.</w:t>
      </w: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</w:p>
    <w:p w:rsidR="00C475A6" w:rsidRDefault="00050322" w:rsidP="001B2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Dada a elevada morbi</w:t>
      </w:r>
      <w:r w:rsidR="00C475A6">
        <w:rPr>
          <w:rFonts w:ascii="Calibri" w:hAnsi="Calibri" w:cs="Calibri"/>
          <w:sz w:val="22"/>
          <w:szCs w:val="22"/>
        </w:rPr>
        <w:t>lidade/</w:t>
      </w:r>
      <w:r w:rsidR="00F04E2B" w:rsidRPr="00393BA9">
        <w:rPr>
          <w:rFonts w:ascii="Calibri" w:hAnsi="Calibri" w:cs="Calibri"/>
          <w:sz w:val="22"/>
          <w:szCs w:val="22"/>
        </w:rPr>
        <w:t>mortalidade associada à INCS, é muito importante obter informação epidemiológica robusta.</w:t>
      </w:r>
    </w:p>
    <w:p w:rsidR="00C475A6" w:rsidRDefault="00C475A6" w:rsidP="001B243C">
      <w:pPr>
        <w:jc w:val="both"/>
        <w:rPr>
          <w:rFonts w:ascii="Calibri" w:hAnsi="Calibri" w:cs="Calibri"/>
          <w:sz w:val="22"/>
          <w:szCs w:val="22"/>
        </w:rPr>
      </w:pPr>
    </w:p>
    <w:p w:rsidR="00F04E2B" w:rsidRPr="00393BA9" w:rsidRDefault="00F04E2B" w:rsidP="001B243C">
      <w:pPr>
        <w:jc w:val="both"/>
        <w:rPr>
          <w:rFonts w:ascii="Calibri" w:hAnsi="Calibri" w:cs="Calibri"/>
          <w:sz w:val="22"/>
          <w:szCs w:val="22"/>
        </w:rPr>
      </w:pPr>
      <w:r w:rsidRPr="00393BA9">
        <w:rPr>
          <w:rFonts w:ascii="Calibri" w:hAnsi="Calibri" w:cs="Calibri"/>
          <w:sz w:val="22"/>
          <w:szCs w:val="22"/>
        </w:rPr>
        <w:t>Consideramos que a participação obrigatória neste programa de vigilância é essencial para orientar as medidas de prevenção em função dos fatores de risco identificados e</w:t>
      </w:r>
      <w:r w:rsidR="00C475A6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ainda</w:t>
      </w:r>
      <w:r w:rsidR="00C475A6">
        <w:rPr>
          <w:rFonts w:ascii="Calibri" w:hAnsi="Calibri" w:cs="Calibri"/>
          <w:sz w:val="22"/>
          <w:szCs w:val="22"/>
        </w:rPr>
        <w:t>,</w:t>
      </w:r>
      <w:r w:rsidRPr="00393BA9">
        <w:rPr>
          <w:rFonts w:ascii="Calibri" w:hAnsi="Calibri" w:cs="Calibri"/>
          <w:sz w:val="22"/>
          <w:szCs w:val="22"/>
        </w:rPr>
        <w:t xml:space="preserve"> para o desenvolvimento de indicadores de qualidade que possam ser integrados nos contratos-programa dos hospitais.</w:t>
      </w:r>
    </w:p>
    <w:p w:rsidR="00F173F1" w:rsidRDefault="00F173F1" w:rsidP="00445AB4">
      <w:pPr>
        <w:pStyle w:val="Ttulo1"/>
        <w:rPr>
          <w:rFonts w:ascii="Calibri" w:hAnsi="Calibri"/>
          <w:b/>
          <w:color w:val="548DD4"/>
        </w:rPr>
      </w:pPr>
      <w:bookmarkStart w:id="40" w:name="_Toc345624872"/>
    </w:p>
    <w:p w:rsidR="00F173F1" w:rsidRDefault="00F173F1" w:rsidP="00445AB4">
      <w:pPr>
        <w:pStyle w:val="Ttulo1"/>
        <w:rPr>
          <w:rFonts w:ascii="Calibri" w:hAnsi="Calibri"/>
          <w:b/>
          <w:color w:val="548DD4"/>
        </w:rPr>
      </w:pPr>
    </w:p>
    <w:p w:rsidR="00F173F1" w:rsidRDefault="00F173F1" w:rsidP="00445AB4">
      <w:pPr>
        <w:pStyle w:val="Ttulo1"/>
        <w:rPr>
          <w:rFonts w:ascii="Calibri" w:hAnsi="Calibri"/>
          <w:b/>
          <w:color w:val="548DD4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Default="00AF732E" w:rsidP="00AF732E">
      <w:pPr>
        <w:rPr>
          <w:lang w:eastAsia="en-US"/>
        </w:rPr>
      </w:pPr>
    </w:p>
    <w:p w:rsidR="00AF732E" w:rsidRPr="00AF732E" w:rsidRDefault="00AF732E" w:rsidP="00AF732E">
      <w:pPr>
        <w:rPr>
          <w:lang w:eastAsia="en-US"/>
        </w:rPr>
      </w:pPr>
    </w:p>
    <w:p w:rsidR="00F04E2B" w:rsidRPr="00393BA9" w:rsidRDefault="003672C5" w:rsidP="00445AB4">
      <w:pPr>
        <w:pStyle w:val="Ttulo1"/>
        <w:rPr>
          <w:rFonts w:ascii="Calibri" w:hAnsi="Calibri"/>
          <w:b/>
          <w:color w:val="548DD4"/>
        </w:rPr>
      </w:pPr>
      <w:r w:rsidRPr="003672C5">
        <w:rPr>
          <w:rFonts w:ascii="Calibri" w:hAnsi="Calibri"/>
          <w:b/>
          <w:caps/>
          <w:color w:val="548DD4"/>
        </w:rPr>
        <w:t>Lista de</w:t>
      </w:r>
      <w:r>
        <w:rPr>
          <w:rFonts w:ascii="Calibri" w:hAnsi="Calibri"/>
          <w:b/>
          <w:color w:val="548DD4"/>
        </w:rPr>
        <w:t xml:space="preserve"> </w:t>
      </w:r>
      <w:r w:rsidR="00F04E2B" w:rsidRPr="00393BA9">
        <w:rPr>
          <w:rFonts w:ascii="Calibri" w:hAnsi="Calibri"/>
          <w:b/>
          <w:color w:val="548DD4"/>
        </w:rPr>
        <w:t>ANEXOS</w:t>
      </w:r>
      <w:bookmarkEnd w:id="40"/>
    </w:p>
    <w:p w:rsidR="00F04E2B" w:rsidRPr="00393BA9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022E14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  <w:r w:rsidRPr="00393BA9">
        <w:rPr>
          <w:rFonts w:ascii="Calibri" w:hAnsi="Calibri" w:cs="Calibri"/>
          <w:b/>
          <w:sz w:val="22"/>
          <w:szCs w:val="22"/>
        </w:rPr>
        <w:t>ANEXO I – Distribuição das INCS por Grupos de Serviços</w:t>
      </w:r>
    </w:p>
    <w:p w:rsidR="00F04E2B" w:rsidRPr="00393BA9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022E14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  <w:r w:rsidRPr="00393BA9">
        <w:rPr>
          <w:rFonts w:ascii="Calibri" w:hAnsi="Calibri" w:cs="Calibri"/>
          <w:b/>
          <w:sz w:val="22"/>
          <w:szCs w:val="22"/>
        </w:rPr>
        <w:t>ANEXO II – Distribuição dos microrganismos isolados nas INC por grupo e por origem provável</w:t>
      </w:r>
    </w:p>
    <w:p w:rsidR="00F04E2B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695800" w:rsidRDefault="00695800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III – Lista de hospitais participantes</w:t>
      </w:r>
    </w:p>
    <w:p w:rsidR="0071428A" w:rsidRPr="00393BA9" w:rsidRDefault="0071428A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04E2B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173F1" w:rsidRDefault="00F173F1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173F1" w:rsidRDefault="00F173F1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173F1" w:rsidRDefault="00F173F1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173F1" w:rsidRDefault="00F173F1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A65A76">
      <w:pPr>
        <w:pStyle w:val="Ttulo2"/>
        <w:rPr>
          <w:rFonts w:ascii="Calibri" w:hAnsi="Calibri" w:cs="Calibri"/>
          <w:b w:val="0"/>
          <w:sz w:val="22"/>
          <w:szCs w:val="22"/>
        </w:rPr>
      </w:pPr>
      <w:bookmarkStart w:id="41" w:name="_Toc345624873"/>
      <w:r w:rsidRPr="00393BA9">
        <w:rPr>
          <w:rFonts w:ascii="Calibri" w:hAnsi="Calibri"/>
          <w:color w:val="548DD4"/>
        </w:rPr>
        <w:t xml:space="preserve">ANEXO I – Distribuição </w:t>
      </w:r>
      <w:r w:rsidR="00C475A6">
        <w:rPr>
          <w:rFonts w:ascii="Calibri" w:hAnsi="Calibri"/>
          <w:color w:val="548DD4"/>
        </w:rPr>
        <w:t xml:space="preserve">detalhada </w:t>
      </w:r>
      <w:r w:rsidRPr="00393BA9">
        <w:rPr>
          <w:rFonts w:ascii="Calibri" w:hAnsi="Calibri"/>
          <w:color w:val="548DD4"/>
        </w:rPr>
        <w:t>das INCS por Grupos de Serviços</w:t>
      </w:r>
      <w:bookmarkEnd w:id="41"/>
      <w:r w:rsidR="00C475A6">
        <w:rPr>
          <w:rFonts w:ascii="Calibri" w:hAnsi="Calibri"/>
          <w:color w:val="548DD4"/>
        </w:rPr>
        <w:t xml:space="preserve"> </w:t>
      </w:r>
    </w:p>
    <w:tbl>
      <w:tblPr>
        <w:tblW w:w="69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3134"/>
        <w:gridCol w:w="1984"/>
        <w:gridCol w:w="1843"/>
      </w:tblGrid>
      <w:tr w:rsidR="00F04E2B" w:rsidRPr="00050322" w:rsidTr="00A65A76">
        <w:trPr>
          <w:trHeight w:val="367"/>
        </w:trPr>
        <w:tc>
          <w:tcPr>
            <w:tcW w:w="3134" w:type="dxa"/>
            <w:tcBorders>
              <w:bottom w:val="single" w:sz="18" w:space="0" w:color="4F81BD"/>
            </w:tcBorders>
            <w:noWrap/>
          </w:tcPr>
          <w:p w:rsidR="00F04E2B" w:rsidRPr="00050322" w:rsidRDefault="00F04E2B" w:rsidP="00A65A7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Tipo de serviço</w:t>
            </w:r>
          </w:p>
        </w:tc>
        <w:tc>
          <w:tcPr>
            <w:tcW w:w="1984" w:type="dxa"/>
            <w:tcBorders>
              <w:bottom w:val="single" w:sz="18" w:space="0" w:color="4F81BD"/>
            </w:tcBorders>
            <w:noWrap/>
          </w:tcPr>
          <w:p w:rsidR="00F04E2B" w:rsidRPr="00050322" w:rsidRDefault="00F04E2B" w:rsidP="00A65A7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843" w:type="dxa"/>
            <w:tcBorders>
              <w:bottom w:val="single" w:sz="18" w:space="0" w:color="4F81BD"/>
            </w:tcBorders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Polivalente </w:t>
            </w:r>
          </w:p>
        </w:tc>
        <w:tc>
          <w:tcPr>
            <w:tcW w:w="198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3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14,3%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Médica (UCIM)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0,9%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Cirúrgica (UCIC)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1,7%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de Transplantes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1,7%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Coronárias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Outras UCI's </w:t>
            </w:r>
          </w:p>
        </w:tc>
        <w:tc>
          <w:tcPr>
            <w:tcW w:w="198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3,8%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UCI Pediátrica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Hematologia </w:t>
            </w:r>
          </w:p>
        </w:tc>
        <w:tc>
          <w:tcPr>
            <w:tcW w:w="198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43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9,6%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Oncologia </w:t>
            </w:r>
          </w:p>
        </w:tc>
        <w:tc>
          <w:tcPr>
            <w:tcW w:w="198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3,7%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Hematologia Pediátrica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2,3%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Medicina Interna </w:t>
            </w:r>
          </w:p>
        </w:tc>
        <w:tc>
          <w:tcPr>
            <w:tcW w:w="198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43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26,7%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Unid.Infecto-contagiosas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0,7%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Gastroenterologia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0,9%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Cardiologia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Doenças Pulmonares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1,2%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Neurologia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0,6%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Nefrologia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1,4%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Dermatologia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Outras Especial. Médicas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1,8%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Cirurgia Geral </w:t>
            </w:r>
          </w:p>
        </w:tc>
        <w:tc>
          <w:tcPr>
            <w:tcW w:w="1984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43" w:type="dxa"/>
            <w:shd w:val="clear" w:color="auto" w:fill="C4BC96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11,6%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Cirurgia Digestiva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Cirurgia Vascular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Cirurgia Cardíaca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0,4%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Neurocirurgia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0,9%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Urologia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1,8%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Traumatologia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Ortopedia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1,6%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Otorrinolaringologia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Outras Especial.Cirúrgicas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1,3%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Pediatria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0,4%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Neonatologia </w:t>
            </w:r>
          </w:p>
        </w:tc>
        <w:tc>
          <w:tcPr>
            <w:tcW w:w="1984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B6DDE8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Ginecologia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Obstetrícia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0,1%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Outros Serviços </w:t>
            </w:r>
          </w:p>
        </w:tc>
        <w:tc>
          <w:tcPr>
            <w:tcW w:w="1984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0,5%</w:t>
            </w:r>
          </w:p>
        </w:tc>
      </w:tr>
      <w:tr w:rsidR="00F04E2B" w:rsidRPr="00050322" w:rsidTr="00141DA7">
        <w:trPr>
          <w:trHeight w:val="255"/>
        </w:trPr>
        <w:tc>
          <w:tcPr>
            <w:tcW w:w="3134" w:type="dxa"/>
            <w:shd w:val="clear" w:color="auto" w:fill="D3DFEE"/>
            <w:noWrap/>
          </w:tcPr>
          <w:p w:rsidR="00F04E2B" w:rsidRPr="00050322" w:rsidRDefault="00F04E2B" w:rsidP="00141DA7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984" w:type="dxa"/>
            <w:shd w:val="clear" w:color="auto" w:fill="D3DFEE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843" w:type="dxa"/>
            <w:shd w:val="clear" w:color="auto" w:fill="D3DFEE"/>
            <w:noWrap/>
          </w:tcPr>
          <w:p w:rsidR="00F04E2B" w:rsidRPr="00050322" w:rsidRDefault="00F04E2B" w:rsidP="00141DA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F04E2B" w:rsidRDefault="00F04E2B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173F1" w:rsidRDefault="00F173F1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173F1" w:rsidRDefault="00F173F1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173F1" w:rsidRDefault="00F173F1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173F1" w:rsidRDefault="00F173F1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173F1" w:rsidRPr="00393BA9" w:rsidRDefault="00F173F1" w:rsidP="001B243C">
      <w:pPr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F04E2B" w:rsidRPr="00393BA9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p w:rsidR="00F04E2B" w:rsidRPr="00393BA9" w:rsidRDefault="00F04E2B" w:rsidP="00445AB4">
      <w:pPr>
        <w:pStyle w:val="Ttulo2"/>
        <w:rPr>
          <w:rFonts w:ascii="Calibri" w:hAnsi="Calibri"/>
          <w:color w:val="548DD4"/>
        </w:rPr>
      </w:pPr>
      <w:bookmarkStart w:id="42" w:name="_Toc345624874"/>
      <w:r w:rsidRPr="00393BA9">
        <w:rPr>
          <w:rFonts w:ascii="Calibri" w:hAnsi="Calibri"/>
          <w:color w:val="548DD4"/>
        </w:rPr>
        <w:t>ANEXO II – Distribuição dos microrganismos isolados nas INC por grupo e por origem provável</w:t>
      </w:r>
      <w:bookmarkEnd w:id="42"/>
    </w:p>
    <w:p w:rsidR="00F04E2B" w:rsidRPr="00393BA9" w:rsidRDefault="00F04E2B" w:rsidP="001B243C">
      <w:pPr>
        <w:pStyle w:val="Avanodecorpodetexto2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998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3918"/>
        <w:gridCol w:w="960"/>
        <w:gridCol w:w="960"/>
        <w:gridCol w:w="1200"/>
        <w:gridCol w:w="960"/>
      </w:tblGrid>
      <w:tr w:rsidR="00F04E2B" w:rsidRPr="00050322" w:rsidTr="00141DA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Microrganismos isolados </w:t>
            </w:r>
          </w:p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Primar.</w:t>
            </w:r>
          </w:p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CVC</w:t>
            </w:r>
          </w:p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Secund.</w:t>
            </w:r>
          </w:p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Total</w:t>
            </w:r>
          </w:p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Anaeróbios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Fungos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Candida albicans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Outros fungos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Total  Fungos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114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Microrganismos Gram negativo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Primar.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CVC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Secund.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Escherichia coli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346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Enterobacter cloacae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Enterobacter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Klebsiella Pneumoniae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244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Klebsiella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Serratia marcescens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Serratia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Outras Salmonella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Citrobacter freundii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Citrobacter freundii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Proteus mirabilis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48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Proteus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Morganella morganii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Pseudomonas aeruginosa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260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Outras Pseudomonas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Acinectobacter baumannii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67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Acinectobacter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Stenotrophomonas maltophilia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21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Burkolderia cepacia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bacilos Gram negativo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Haemophilus influenzae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Haemophilus parainfluenzae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Total Gram negativo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1242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Microrganismos Gram positivo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Primar.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CVC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Secund.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en-US"/>
              </w:rPr>
              <w:t xml:space="preserve"> Staphylococcus aureus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492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en-US"/>
              </w:rPr>
              <w:t xml:space="preserve"> Staphylococcus epidermidis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256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  <w:lang w:val="en-US"/>
              </w:rPr>
              <w:t xml:space="preserve"> Staphylococcus ha</w:t>
            </w: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emolyticus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Outros Staph. coagulase negativo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87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Enterococcus faecalis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113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Enterococcus faecium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115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viridans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19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pneumoniae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grupo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agalactiae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grupo 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 xml:space="preserve"> Streptococcus grupo 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Outros cocos Gram positivo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22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Total  gram positivo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color w:val="000000"/>
                <w:sz w:val="20"/>
                <w:szCs w:val="20"/>
              </w:rPr>
              <w:t>1188</w:t>
            </w:r>
          </w:p>
        </w:tc>
      </w:tr>
      <w:tr w:rsidR="00F04E2B" w:rsidRPr="00050322" w:rsidTr="00141DA7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TOTAL de todos os microrg. isolados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F04E2B" w:rsidRPr="00050322" w:rsidRDefault="00F04E2B" w:rsidP="00141DA7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5032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2553</w:t>
            </w:r>
          </w:p>
        </w:tc>
      </w:tr>
    </w:tbl>
    <w:p w:rsidR="00695800" w:rsidRDefault="00695800" w:rsidP="00890DE6">
      <w:pPr>
        <w:rPr>
          <w:rFonts w:ascii="Garamond" w:hAnsi="Garamond"/>
          <w:sz w:val="32"/>
          <w:szCs w:val="32"/>
        </w:rPr>
      </w:pPr>
    </w:p>
    <w:p w:rsidR="00F173F1" w:rsidRDefault="00F173F1" w:rsidP="00890DE6">
      <w:pPr>
        <w:rPr>
          <w:rFonts w:ascii="Garamond" w:hAnsi="Garamond"/>
          <w:sz w:val="32"/>
          <w:szCs w:val="32"/>
        </w:rPr>
      </w:pPr>
    </w:p>
    <w:p w:rsidR="00695800" w:rsidRDefault="00695800" w:rsidP="00695800">
      <w:pPr>
        <w:pStyle w:val="Ttulo2"/>
        <w:rPr>
          <w:rFonts w:ascii="Garamond" w:hAnsi="Garamond"/>
          <w:sz w:val="32"/>
          <w:szCs w:val="32"/>
        </w:rPr>
      </w:pPr>
      <w:r w:rsidRPr="00393BA9">
        <w:rPr>
          <w:rFonts w:ascii="Calibri" w:hAnsi="Calibri"/>
          <w:color w:val="548DD4"/>
        </w:rPr>
        <w:lastRenderedPageBreak/>
        <w:t>ANEXO II</w:t>
      </w:r>
      <w:r>
        <w:rPr>
          <w:rFonts w:ascii="Calibri" w:hAnsi="Calibri"/>
          <w:color w:val="548DD4"/>
        </w:rPr>
        <w:t>I</w:t>
      </w:r>
      <w:r w:rsidRPr="00393BA9">
        <w:rPr>
          <w:rFonts w:ascii="Calibri" w:hAnsi="Calibri"/>
          <w:color w:val="548DD4"/>
        </w:rPr>
        <w:t xml:space="preserve"> –</w:t>
      </w:r>
      <w:r>
        <w:rPr>
          <w:rFonts w:ascii="Calibri" w:hAnsi="Calibri"/>
          <w:color w:val="548DD4"/>
        </w:rPr>
        <w:t xml:space="preserve"> Lista de hospitais participantes</w:t>
      </w:r>
      <w:r w:rsidR="00C475A6">
        <w:rPr>
          <w:rFonts w:ascii="Calibri" w:hAnsi="Calibri"/>
          <w:color w:val="548DD4"/>
        </w:rPr>
        <w:t xml:space="preserve"> (2011)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2556"/>
      </w:tblGrid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Hospitais aderentes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N.º Serviços aderentes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ARS NORTE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C.H. Vila Nova Gaia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Central Esp. Crianças Maria Pia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Conde de S. Bento, St. Tirso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Luiz, Peso Régua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Pedro-Vila Real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Bragança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Lamego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Mirandela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Vila do Conde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Geral S. António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João de Deus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Marcos Braga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Pedro Pescador_Póvoa Varzim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I.P.O. Porto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ULS Matosinhos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ARS CENTRO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Figueira da Foz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Infante D. Pedro, Aveiro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Santo André, Leiria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Caldas da Rainha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ARS Lisboa e Vale do Tejo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Maternidade Júlio Diniz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Hospital CUF Descobertas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HPP Lusíadas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H.SAMS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de Abrantes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de Tomar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D. Torres Novas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Garcia de Orta, EPE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Pulido Valente - CHLN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Santa Maria - CHLN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S. Francisco Xavier-CHLO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Santa Cruz - CHLO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Egas Moniz - CHLO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Santa Marta - CHLC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Santo António dos Capuchos_CHLC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ARS ALENTEJO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de Santa Luzia Elvas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de Beja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Espirito Santo, Évora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do Litoral Alentejano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ARS ALGARVE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Distrital Portimão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SRS MADEIRA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C. H. do Funchal</w:t>
            </w:r>
            <w:r w:rsidR="00712884"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CDCD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SRS AÇORES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CDCD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da Horta, EPE Açores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CDCD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CDCD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H. Ponta Delgada, Açores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CDCDC" w:fill="000000"/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695800" w:rsidTr="00E91512">
        <w:trPr>
          <w:trHeight w:val="24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00" w:rsidRPr="000A08BB" w:rsidRDefault="00695800" w:rsidP="0071288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 de Hospitais  - 4</w:t>
            </w:r>
            <w:r w:rsidR="007128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00" w:rsidRPr="000A08BB" w:rsidRDefault="00695800" w:rsidP="00E9151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A08B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 de serviços - 303</w:t>
            </w:r>
          </w:p>
        </w:tc>
      </w:tr>
      <w:tr w:rsidR="00695800" w:rsidTr="00E91512">
        <w:trPr>
          <w:trHeight w:val="247"/>
        </w:trPr>
        <w:tc>
          <w:tcPr>
            <w:tcW w:w="780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800" w:rsidRPr="000A08BB" w:rsidRDefault="00712884" w:rsidP="0071288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*C</w:t>
            </w:r>
            <w:r w:rsidR="00695800" w:rsidRPr="000A08BB">
              <w:rPr>
                <w:rFonts w:ascii="Calibri" w:hAnsi="Calibri" w:cs="Arial"/>
                <w:color w:val="000000"/>
                <w:sz w:val="20"/>
                <w:szCs w:val="20"/>
              </w:rPr>
              <w:t>orresponde a 3 hospitais</w:t>
            </w:r>
          </w:p>
        </w:tc>
      </w:tr>
    </w:tbl>
    <w:p w:rsidR="00F04E2B" w:rsidRPr="001B243C" w:rsidRDefault="00F04E2B" w:rsidP="00F346F4">
      <w:pPr>
        <w:rPr>
          <w:rFonts w:ascii="Garamond" w:hAnsi="Garamond"/>
          <w:sz w:val="32"/>
          <w:szCs w:val="32"/>
        </w:rPr>
      </w:pPr>
    </w:p>
    <w:sectPr w:rsidR="00F04E2B" w:rsidRPr="001B243C" w:rsidSect="00A65A76">
      <w:headerReference w:type="default" r:id="rId22"/>
      <w:footerReference w:type="even" r:id="rId23"/>
      <w:footerReference w:type="default" r:id="rId24"/>
      <w:pgSz w:w="11906" w:h="16838"/>
      <w:pgMar w:top="0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6B" w:rsidRDefault="003B6A6B" w:rsidP="00283DC6">
      <w:r>
        <w:separator/>
      </w:r>
    </w:p>
  </w:endnote>
  <w:endnote w:type="continuationSeparator" w:id="1">
    <w:p w:rsidR="003B6A6B" w:rsidRDefault="003B6A6B" w:rsidP="0028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73" w:rsidRDefault="009F7B73" w:rsidP="00905C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B73" w:rsidRDefault="009F7B73" w:rsidP="00905C4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73" w:rsidRDefault="009F7B73" w:rsidP="00905C40">
    <w:pPr>
      <w:pStyle w:val="Rodap"/>
      <w:ind w:right="360"/>
    </w:pPr>
    <w:r>
      <w:rPr>
        <w:noProof/>
      </w:rPr>
      <w:pict>
        <v:group id="_x0000_s2049" style="position:absolute;margin-left:0;margin-top:803.25pt;width:593.5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9F7B73" w:rsidRPr="009A03BD" w:rsidRDefault="009F7B73">
                  <w:pPr>
                    <w:jc w:val="center"/>
                    <w:rPr>
                      <w:rFonts w:ascii="Calibri" w:hAnsi="Calibri"/>
                    </w:rPr>
                  </w:pPr>
                  <w:r w:rsidRPr="009A03BD">
                    <w:rPr>
                      <w:rFonts w:ascii="Calibri" w:hAnsi="Calibri"/>
                    </w:rPr>
                    <w:fldChar w:fldCharType="begin"/>
                  </w:r>
                  <w:r w:rsidRPr="009A03BD">
                    <w:rPr>
                      <w:rFonts w:ascii="Calibri" w:hAnsi="Calibri"/>
                    </w:rPr>
                    <w:instrText xml:space="preserve"> PAGE    \* MERGEFORMAT </w:instrText>
                  </w:r>
                  <w:r w:rsidRPr="009A03BD">
                    <w:rPr>
                      <w:rFonts w:ascii="Calibri" w:hAnsi="Calibri"/>
                    </w:rPr>
                    <w:fldChar w:fldCharType="separate"/>
                  </w:r>
                  <w:r w:rsidR="004676CE" w:rsidRPr="004676CE">
                    <w:rPr>
                      <w:rFonts w:ascii="Calibri" w:hAnsi="Calibri"/>
                      <w:noProof/>
                      <w:color w:val="8C8C8C"/>
                    </w:rPr>
                    <w:t>6</w:t>
                  </w:r>
                  <w:r w:rsidRPr="009A03BD">
                    <w:rPr>
                      <w:rFonts w:ascii="Calibri" w:hAnsi="Calibri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6B" w:rsidRDefault="003B6A6B" w:rsidP="00283DC6">
      <w:r>
        <w:separator/>
      </w:r>
    </w:p>
  </w:footnote>
  <w:footnote w:type="continuationSeparator" w:id="1">
    <w:p w:rsidR="003B6A6B" w:rsidRDefault="003B6A6B" w:rsidP="0028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73" w:rsidRDefault="009F7B73" w:rsidP="00560C9C">
    <w:pPr>
      <w:spacing w:before="120" w:after="120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 xml:space="preserve">                                           </w:t>
    </w:r>
    <w:r>
      <w:rPr>
        <w:rFonts w:ascii="Calibri" w:hAnsi="Calibri" w:cs="Arial"/>
        <w:b/>
        <w:bCs/>
        <w:sz w:val="20"/>
        <w:szCs w:val="20"/>
      </w:rPr>
      <w:tab/>
    </w:r>
    <w:r>
      <w:rPr>
        <w:rFonts w:ascii="Calibri" w:hAnsi="Calibri" w:cs="Arial"/>
        <w:b/>
        <w:bCs/>
        <w:sz w:val="20"/>
        <w:szCs w:val="20"/>
      </w:rPr>
      <w:tab/>
      <w:t xml:space="preserve"> V</w:t>
    </w:r>
    <w:r w:rsidRPr="00E91512">
      <w:rPr>
        <w:rFonts w:ascii="Calibri" w:hAnsi="Calibri" w:cs="Arial"/>
        <w:b/>
        <w:bCs/>
        <w:sz w:val="20"/>
        <w:szCs w:val="20"/>
      </w:rPr>
      <w:t>IGILÂNCIA EPIDEMIOLÓGICA DAS INFEÇÕES NOSOCOMIAIS</w:t>
    </w:r>
  </w:p>
  <w:p w:rsidR="009F7B73" w:rsidRDefault="009F7B73" w:rsidP="00560C9C">
    <w:pPr>
      <w:spacing w:before="120" w:after="120"/>
    </w:pPr>
    <w:r>
      <w:rPr>
        <w:rFonts w:ascii="Calibri" w:hAnsi="Calibri" w:cs="Arial"/>
        <w:b/>
        <w:bCs/>
        <w:sz w:val="20"/>
        <w:szCs w:val="20"/>
      </w:rPr>
      <w:t xml:space="preserve">                                                                                      </w:t>
    </w:r>
    <w:r w:rsidRPr="00E91512">
      <w:rPr>
        <w:rFonts w:ascii="Calibri" w:hAnsi="Calibri" w:cs="Arial"/>
        <w:b/>
        <w:bCs/>
        <w:sz w:val="20"/>
        <w:szCs w:val="20"/>
      </w:rPr>
      <w:t>DA CORRENTE SANGUÍNEA</w:t>
    </w:r>
    <w:r>
      <w:rPr>
        <w:rFonts w:ascii="Calibri" w:hAnsi="Calibri" w:cs="Arial"/>
        <w:b/>
        <w:bCs/>
        <w:sz w:val="20"/>
        <w:szCs w:val="20"/>
      </w:rPr>
      <w:t xml:space="preserve"> - 2011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A2E"/>
    <w:multiLevelType w:val="hybridMultilevel"/>
    <w:tmpl w:val="649E9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727"/>
    <w:multiLevelType w:val="hybridMultilevel"/>
    <w:tmpl w:val="E1A28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396"/>
    <w:multiLevelType w:val="hybridMultilevel"/>
    <w:tmpl w:val="EEF0F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46936"/>
    <w:multiLevelType w:val="multilevel"/>
    <w:tmpl w:val="1F021618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C7C4E12"/>
    <w:multiLevelType w:val="hybridMultilevel"/>
    <w:tmpl w:val="9DB6B9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0D0"/>
    <w:multiLevelType w:val="hybridMultilevel"/>
    <w:tmpl w:val="B32088C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4707CAD"/>
    <w:multiLevelType w:val="hybridMultilevel"/>
    <w:tmpl w:val="177C4870"/>
    <w:lvl w:ilvl="0" w:tplc="0816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4739C"/>
    <w:multiLevelType w:val="hybridMultilevel"/>
    <w:tmpl w:val="F872F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F5CBD"/>
    <w:multiLevelType w:val="hybridMultilevel"/>
    <w:tmpl w:val="940E583A"/>
    <w:lvl w:ilvl="0" w:tplc="A53C8A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0143"/>
    <w:multiLevelType w:val="singleLevel"/>
    <w:tmpl w:val="8C703B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92262DC"/>
    <w:multiLevelType w:val="hybridMultilevel"/>
    <w:tmpl w:val="D9EE0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553A"/>
    <w:multiLevelType w:val="hybridMultilevel"/>
    <w:tmpl w:val="A0E632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CE"/>
    <w:multiLevelType w:val="hybridMultilevel"/>
    <w:tmpl w:val="EA3E0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75CF"/>
    <w:multiLevelType w:val="hybridMultilevel"/>
    <w:tmpl w:val="B3A8ADF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2527B"/>
    <w:multiLevelType w:val="hybridMultilevel"/>
    <w:tmpl w:val="DB8883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299A"/>
    <w:multiLevelType w:val="hybridMultilevel"/>
    <w:tmpl w:val="4B7EB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449EF"/>
    <w:multiLevelType w:val="hybridMultilevel"/>
    <w:tmpl w:val="511288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21DF1"/>
    <w:multiLevelType w:val="hybridMultilevel"/>
    <w:tmpl w:val="A11ACA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5F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F30F79"/>
    <w:multiLevelType w:val="singleLevel"/>
    <w:tmpl w:val="CE74D8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9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>
      <o:colormenu v:ext="edit" strokecolor="#00206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3DC6"/>
    <w:rsid w:val="00015F81"/>
    <w:rsid w:val="00017A9D"/>
    <w:rsid w:val="00022E14"/>
    <w:rsid w:val="00026575"/>
    <w:rsid w:val="00050322"/>
    <w:rsid w:val="000509AE"/>
    <w:rsid w:val="00057662"/>
    <w:rsid w:val="000901D4"/>
    <w:rsid w:val="000951C7"/>
    <w:rsid w:val="000A2FC2"/>
    <w:rsid w:val="000D1261"/>
    <w:rsid w:val="000D1E54"/>
    <w:rsid w:val="00124A9A"/>
    <w:rsid w:val="0012789D"/>
    <w:rsid w:val="00141DA7"/>
    <w:rsid w:val="00150973"/>
    <w:rsid w:val="001540F6"/>
    <w:rsid w:val="001A50DF"/>
    <w:rsid w:val="001B243C"/>
    <w:rsid w:val="001C1BA4"/>
    <w:rsid w:val="001D329D"/>
    <w:rsid w:val="001E2674"/>
    <w:rsid w:val="001E6DB1"/>
    <w:rsid w:val="00201E40"/>
    <w:rsid w:val="00210B8B"/>
    <w:rsid w:val="0023042A"/>
    <w:rsid w:val="00263A0E"/>
    <w:rsid w:val="00283DC6"/>
    <w:rsid w:val="00284F71"/>
    <w:rsid w:val="002860AE"/>
    <w:rsid w:val="00292DFF"/>
    <w:rsid w:val="00293022"/>
    <w:rsid w:val="002A6116"/>
    <w:rsid w:val="002C684F"/>
    <w:rsid w:val="002D2D39"/>
    <w:rsid w:val="002F54A6"/>
    <w:rsid w:val="00327AA7"/>
    <w:rsid w:val="00330E91"/>
    <w:rsid w:val="00333C4C"/>
    <w:rsid w:val="003412FB"/>
    <w:rsid w:val="00345C86"/>
    <w:rsid w:val="0035019B"/>
    <w:rsid w:val="0035402D"/>
    <w:rsid w:val="003672C5"/>
    <w:rsid w:val="00370F56"/>
    <w:rsid w:val="00375C59"/>
    <w:rsid w:val="00387B4C"/>
    <w:rsid w:val="00393856"/>
    <w:rsid w:val="00393BA9"/>
    <w:rsid w:val="003B6A6B"/>
    <w:rsid w:val="003D2F34"/>
    <w:rsid w:val="003E52EC"/>
    <w:rsid w:val="00400723"/>
    <w:rsid w:val="00405391"/>
    <w:rsid w:val="00405F55"/>
    <w:rsid w:val="004171D7"/>
    <w:rsid w:val="00417ECF"/>
    <w:rsid w:val="004223B4"/>
    <w:rsid w:val="00422503"/>
    <w:rsid w:val="004238D8"/>
    <w:rsid w:val="00436723"/>
    <w:rsid w:val="00436A23"/>
    <w:rsid w:val="0044062E"/>
    <w:rsid w:val="00445AB4"/>
    <w:rsid w:val="004676CE"/>
    <w:rsid w:val="004768E2"/>
    <w:rsid w:val="00480320"/>
    <w:rsid w:val="00495AD5"/>
    <w:rsid w:val="004A54F4"/>
    <w:rsid w:val="004B66A0"/>
    <w:rsid w:val="004D1D8A"/>
    <w:rsid w:val="004F4A50"/>
    <w:rsid w:val="0054402E"/>
    <w:rsid w:val="00552231"/>
    <w:rsid w:val="00560C9C"/>
    <w:rsid w:val="00564E40"/>
    <w:rsid w:val="00565E00"/>
    <w:rsid w:val="00575504"/>
    <w:rsid w:val="00583944"/>
    <w:rsid w:val="00584D4D"/>
    <w:rsid w:val="00586261"/>
    <w:rsid w:val="0059345F"/>
    <w:rsid w:val="0059748A"/>
    <w:rsid w:val="005B2831"/>
    <w:rsid w:val="005C24A7"/>
    <w:rsid w:val="005D2824"/>
    <w:rsid w:val="00630ED4"/>
    <w:rsid w:val="00630F73"/>
    <w:rsid w:val="00632686"/>
    <w:rsid w:val="00633B7C"/>
    <w:rsid w:val="0064085D"/>
    <w:rsid w:val="00657B3F"/>
    <w:rsid w:val="00666D57"/>
    <w:rsid w:val="00671E70"/>
    <w:rsid w:val="006736BB"/>
    <w:rsid w:val="00692EBA"/>
    <w:rsid w:val="00695800"/>
    <w:rsid w:val="006B6E82"/>
    <w:rsid w:val="006C0878"/>
    <w:rsid w:val="006C66F0"/>
    <w:rsid w:val="006C7E77"/>
    <w:rsid w:val="006E266C"/>
    <w:rsid w:val="0070491E"/>
    <w:rsid w:val="00705403"/>
    <w:rsid w:val="00707288"/>
    <w:rsid w:val="00712884"/>
    <w:rsid w:val="0071428A"/>
    <w:rsid w:val="00716D88"/>
    <w:rsid w:val="00721CB1"/>
    <w:rsid w:val="0072697A"/>
    <w:rsid w:val="0072751F"/>
    <w:rsid w:val="00743519"/>
    <w:rsid w:val="00757664"/>
    <w:rsid w:val="007776E3"/>
    <w:rsid w:val="00793C1D"/>
    <w:rsid w:val="007C6ACB"/>
    <w:rsid w:val="007D2D1E"/>
    <w:rsid w:val="007F4E46"/>
    <w:rsid w:val="007F68BF"/>
    <w:rsid w:val="00845F0E"/>
    <w:rsid w:val="008663CE"/>
    <w:rsid w:val="008672E5"/>
    <w:rsid w:val="00890DE6"/>
    <w:rsid w:val="00892329"/>
    <w:rsid w:val="008A0489"/>
    <w:rsid w:val="008B1D1F"/>
    <w:rsid w:val="008C168F"/>
    <w:rsid w:val="008E7F76"/>
    <w:rsid w:val="008F2E75"/>
    <w:rsid w:val="008F5BC4"/>
    <w:rsid w:val="0090481E"/>
    <w:rsid w:val="00905C40"/>
    <w:rsid w:val="00911712"/>
    <w:rsid w:val="0092033A"/>
    <w:rsid w:val="0094145D"/>
    <w:rsid w:val="00944370"/>
    <w:rsid w:val="00952D85"/>
    <w:rsid w:val="009A03BD"/>
    <w:rsid w:val="009A3E7D"/>
    <w:rsid w:val="009B15D4"/>
    <w:rsid w:val="009D0F68"/>
    <w:rsid w:val="009D7CEB"/>
    <w:rsid w:val="009E6C15"/>
    <w:rsid w:val="009F7B73"/>
    <w:rsid w:val="00A066E4"/>
    <w:rsid w:val="00A17558"/>
    <w:rsid w:val="00A31DE1"/>
    <w:rsid w:val="00A3251B"/>
    <w:rsid w:val="00A65A76"/>
    <w:rsid w:val="00A8431E"/>
    <w:rsid w:val="00A855B4"/>
    <w:rsid w:val="00AA02F3"/>
    <w:rsid w:val="00AB0984"/>
    <w:rsid w:val="00AC1783"/>
    <w:rsid w:val="00AC3166"/>
    <w:rsid w:val="00AC762C"/>
    <w:rsid w:val="00AF101A"/>
    <w:rsid w:val="00AF732E"/>
    <w:rsid w:val="00B22526"/>
    <w:rsid w:val="00B34433"/>
    <w:rsid w:val="00B36B8F"/>
    <w:rsid w:val="00B44D26"/>
    <w:rsid w:val="00B706CB"/>
    <w:rsid w:val="00B8244D"/>
    <w:rsid w:val="00BA7B63"/>
    <w:rsid w:val="00BD1A6B"/>
    <w:rsid w:val="00BD6936"/>
    <w:rsid w:val="00BE1087"/>
    <w:rsid w:val="00BE2B0B"/>
    <w:rsid w:val="00BE6FDE"/>
    <w:rsid w:val="00BF7B8D"/>
    <w:rsid w:val="00C04679"/>
    <w:rsid w:val="00C1703F"/>
    <w:rsid w:val="00C41C9E"/>
    <w:rsid w:val="00C475A6"/>
    <w:rsid w:val="00C55F6D"/>
    <w:rsid w:val="00C671D5"/>
    <w:rsid w:val="00C82DF3"/>
    <w:rsid w:val="00CD311B"/>
    <w:rsid w:val="00CD72C7"/>
    <w:rsid w:val="00CF3827"/>
    <w:rsid w:val="00D051F0"/>
    <w:rsid w:val="00D17922"/>
    <w:rsid w:val="00D211BC"/>
    <w:rsid w:val="00D23C93"/>
    <w:rsid w:val="00D32645"/>
    <w:rsid w:val="00D432E8"/>
    <w:rsid w:val="00D61268"/>
    <w:rsid w:val="00D82636"/>
    <w:rsid w:val="00D82C39"/>
    <w:rsid w:val="00D84344"/>
    <w:rsid w:val="00DA3F9A"/>
    <w:rsid w:val="00DC5F44"/>
    <w:rsid w:val="00DC656D"/>
    <w:rsid w:val="00DF41C1"/>
    <w:rsid w:val="00DF6CB0"/>
    <w:rsid w:val="00E11900"/>
    <w:rsid w:val="00E2290E"/>
    <w:rsid w:val="00E374D0"/>
    <w:rsid w:val="00E405FD"/>
    <w:rsid w:val="00E50CD1"/>
    <w:rsid w:val="00E5114C"/>
    <w:rsid w:val="00E64EA3"/>
    <w:rsid w:val="00E91512"/>
    <w:rsid w:val="00E91BC2"/>
    <w:rsid w:val="00EA3BF6"/>
    <w:rsid w:val="00EC0889"/>
    <w:rsid w:val="00EC08C5"/>
    <w:rsid w:val="00F04E2B"/>
    <w:rsid w:val="00F173F1"/>
    <w:rsid w:val="00F259CE"/>
    <w:rsid w:val="00F315DA"/>
    <w:rsid w:val="00F346F4"/>
    <w:rsid w:val="00F53058"/>
    <w:rsid w:val="00F7563C"/>
    <w:rsid w:val="00F81BB6"/>
    <w:rsid w:val="00F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1" w:uiPriority="0"/>
    <w:lsdException w:name="Table Columns 2" w:semiHidden="1" w:unhideWhenUsed="1"/>
    <w:lsdException w:name="Table Columns 3" w:semiHidden="1" w:unhideWhenUsed="1"/>
    <w:lsdException w:name="Table Columns 4" w:locked="1" w:uiPriority="0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1" w:uiPriority="0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uiPriority="0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83D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1B243C"/>
    <w:pPr>
      <w:keepNext/>
      <w:outlineLvl w:val="0"/>
    </w:pPr>
    <w:rPr>
      <w:rFonts w:ascii="Arial" w:hAnsi="Arial"/>
      <w:szCs w:val="20"/>
      <w:lang w:eastAsia="en-US"/>
    </w:rPr>
  </w:style>
  <w:style w:type="paragraph" w:styleId="Ttulo2">
    <w:name w:val="heading 2"/>
    <w:basedOn w:val="Normal"/>
    <w:next w:val="Normal"/>
    <w:link w:val="Ttulo2Carcter"/>
    <w:uiPriority w:val="99"/>
    <w:qFormat/>
    <w:rsid w:val="001B243C"/>
    <w:pPr>
      <w:keepNext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link w:val="Ttulo3Carcter"/>
    <w:uiPriority w:val="99"/>
    <w:qFormat/>
    <w:rsid w:val="001B243C"/>
    <w:pPr>
      <w:keepNext/>
      <w:framePr w:hSpace="141" w:wrap="notBeside" w:vAnchor="text" w:hAnchor="page" w:x="1" w:y="164"/>
      <w:outlineLvl w:val="2"/>
    </w:pPr>
    <w:rPr>
      <w:rFonts w:ascii="Arial" w:hAnsi="Arial"/>
      <w:b/>
      <w:sz w:val="18"/>
      <w:szCs w:val="20"/>
      <w:lang w:eastAsia="en-US"/>
    </w:rPr>
  </w:style>
  <w:style w:type="paragraph" w:styleId="Ttulo4">
    <w:name w:val="heading 4"/>
    <w:basedOn w:val="Normal"/>
    <w:next w:val="Normal"/>
    <w:link w:val="Ttulo4Carcter"/>
    <w:uiPriority w:val="99"/>
    <w:qFormat/>
    <w:rsid w:val="001B243C"/>
    <w:pPr>
      <w:keepNext/>
      <w:framePr w:hSpace="141" w:wrap="around" w:vAnchor="text" w:hAnchor="margin" w:xAlign="center" w:y="616"/>
      <w:outlineLvl w:val="3"/>
    </w:pPr>
    <w:rPr>
      <w:rFonts w:ascii="Arial" w:hAnsi="Arial"/>
      <w:b/>
      <w:color w:val="000000"/>
      <w:szCs w:val="20"/>
      <w:lang w:eastAsia="en-US"/>
    </w:rPr>
  </w:style>
  <w:style w:type="paragraph" w:styleId="Ttulo5">
    <w:name w:val="heading 5"/>
    <w:basedOn w:val="Normal"/>
    <w:next w:val="Normal"/>
    <w:link w:val="Ttulo5Carcter"/>
    <w:uiPriority w:val="99"/>
    <w:qFormat/>
    <w:rsid w:val="001B243C"/>
    <w:pPr>
      <w:keepNext/>
      <w:outlineLvl w:val="4"/>
    </w:pPr>
    <w:rPr>
      <w:rFonts w:ascii="Courier" w:hAnsi="Courier"/>
      <w:color w:val="FF0000"/>
      <w:sz w:val="28"/>
      <w:szCs w:val="20"/>
    </w:rPr>
  </w:style>
  <w:style w:type="paragraph" w:styleId="Ttulo6">
    <w:name w:val="heading 6"/>
    <w:basedOn w:val="Normal"/>
    <w:next w:val="Normal"/>
    <w:link w:val="Ttulo6Carcter"/>
    <w:uiPriority w:val="99"/>
    <w:qFormat/>
    <w:rsid w:val="001B243C"/>
    <w:pPr>
      <w:keepNext/>
      <w:framePr w:hSpace="141" w:wrap="around" w:vAnchor="text" w:hAnchor="margin" w:xAlign="center" w:y="616"/>
      <w:outlineLvl w:val="5"/>
    </w:pPr>
    <w:rPr>
      <w:rFonts w:ascii="Arial" w:hAnsi="Arial"/>
      <w:b/>
      <w:color w:val="000000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cter"/>
    <w:uiPriority w:val="99"/>
    <w:qFormat/>
    <w:rsid w:val="001B243C"/>
    <w:pPr>
      <w:keepNext/>
      <w:outlineLvl w:val="6"/>
    </w:pPr>
    <w:rPr>
      <w:rFonts w:ascii="Courier" w:hAnsi="Courier"/>
      <w:color w:val="FFFFFF"/>
      <w:sz w:val="28"/>
      <w:szCs w:val="20"/>
    </w:rPr>
  </w:style>
  <w:style w:type="paragraph" w:styleId="Ttulo8">
    <w:name w:val="heading 8"/>
    <w:basedOn w:val="Normal"/>
    <w:next w:val="Normal"/>
    <w:link w:val="Ttulo8Carcter"/>
    <w:uiPriority w:val="99"/>
    <w:qFormat/>
    <w:rsid w:val="001B243C"/>
    <w:pPr>
      <w:keepNext/>
      <w:jc w:val="center"/>
      <w:outlineLvl w:val="7"/>
    </w:pPr>
    <w:rPr>
      <w:rFonts w:ascii="Arial" w:hAnsi="Arial"/>
      <w:b/>
      <w:sz w:val="28"/>
      <w:szCs w:val="20"/>
      <w:lang w:val="en-US"/>
    </w:rPr>
  </w:style>
  <w:style w:type="paragraph" w:styleId="Ttulo9">
    <w:name w:val="heading 9"/>
    <w:basedOn w:val="Normal"/>
    <w:next w:val="Normal"/>
    <w:link w:val="Ttulo9Carcter"/>
    <w:uiPriority w:val="99"/>
    <w:qFormat/>
    <w:rsid w:val="001B243C"/>
    <w:pPr>
      <w:keepNext/>
      <w:jc w:val="center"/>
      <w:outlineLvl w:val="8"/>
    </w:pPr>
    <w:rPr>
      <w:rFonts w:ascii="Arial" w:hAnsi="Arial"/>
      <w:b/>
      <w:sz w:val="32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1B243C"/>
    <w:rPr>
      <w:rFonts w:ascii="Arial" w:hAnsi="Arial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9"/>
    <w:locked/>
    <w:rsid w:val="001B243C"/>
    <w:rPr>
      <w:rFonts w:ascii="Times New Roman" w:hAnsi="Times New Roman" w:cs="Times New Roman"/>
      <w:b/>
      <w:sz w:val="20"/>
      <w:szCs w:val="20"/>
    </w:rPr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1B243C"/>
    <w:rPr>
      <w:rFonts w:ascii="Arial" w:hAnsi="Arial" w:cs="Times New Roman"/>
      <w:b/>
      <w:sz w:val="20"/>
      <w:szCs w:val="20"/>
    </w:rPr>
  </w:style>
  <w:style w:type="character" w:customStyle="1" w:styleId="Ttulo4Carcter">
    <w:name w:val="Título 4 Carácter"/>
    <w:basedOn w:val="Tipodeletrapredefinidodopargrafo"/>
    <w:link w:val="Ttulo4"/>
    <w:uiPriority w:val="99"/>
    <w:locked/>
    <w:rsid w:val="001B243C"/>
    <w:rPr>
      <w:rFonts w:ascii="Arial" w:hAnsi="Arial" w:cs="Times New Roman"/>
      <w:b/>
      <w:color w:val="000000"/>
      <w:sz w:val="20"/>
      <w:szCs w:val="20"/>
    </w:rPr>
  </w:style>
  <w:style w:type="character" w:customStyle="1" w:styleId="Ttulo5Carcter">
    <w:name w:val="Título 5 Carácter"/>
    <w:basedOn w:val="Tipodeletrapredefinidodopargrafo"/>
    <w:link w:val="Ttulo5"/>
    <w:uiPriority w:val="99"/>
    <w:locked/>
    <w:rsid w:val="001B243C"/>
    <w:rPr>
      <w:rFonts w:ascii="Courier" w:hAnsi="Courier" w:cs="Times New Roman"/>
      <w:snapToGrid w:val="0"/>
      <w:color w:val="FF0000"/>
      <w:sz w:val="20"/>
      <w:szCs w:val="20"/>
      <w:lang w:eastAsia="pt-PT"/>
    </w:rPr>
  </w:style>
  <w:style w:type="character" w:customStyle="1" w:styleId="Ttulo6Carcter">
    <w:name w:val="Título 6 Carácter"/>
    <w:basedOn w:val="Tipodeletrapredefinidodopargrafo"/>
    <w:link w:val="Ttulo6"/>
    <w:uiPriority w:val="99"/>
    <w:locked/>
    <w:rsid w:val="001B243C"/>
    <w:rPr>
      <w:rFonts w:ascii="Arial" w:hAnsi="Arial" w:cs="Times New Roman"/>
      <w:b/>
      <w:color w:val="000000"/>
      <w:sz w:val="20"/>
      <w:szCs w:val="20"/>
    </w:rPr>
  </w:style>
  <w:style w:type="character" w:customStyle="1" w:styleId="Ttulo7Carcter">
    <w:name w:val="Título 7 Carácter"/>
    <w:basedOn w:val="Tipodeletrapredefinidodopargrafo"/>
    <w:link w:val="Ttulo7"/>
    <w:uiPriority w:val="99"/>
    <w:locked/>
    <w:rsid w:val="001B243C"/>
    <w:rPr>
      <w:rFonts w:ascii="Courier" w:hAnsi="Courier" w:cs="Times New Roman"/>
      <w:snapToGrid w:val="0"/>
      <w:color w:val="FFFFFF"/>
      <w:sz w:val="20"/>
      <w:szCs w:val="20"/>
      <w:lang w:eastAsia="pt-PT"/>
    </w:rPr>
  </w:style>
  <w:style w:type="character" w:customStyle="1" w:styleId="Ttulo8Carcter">
    <w:name w:val="Título 8 Carácter"/>
    <w:basedOn w:val="Tipodeletrapredefinidodopargrafo"/>
    <w:link w:val="Ttulo8"/>
    <w:uiPriority w:val="99"/>
    <w:locked/>
    <w:rsid w:val="001B243C"/>
    <w:rPr>
      <w:rFonts w:ascii="Arial" w:hAnsi="Arial" w:cs="Times New Roman"/>
      <w:b/>
      <w:snapToGrid w:val="0"/>
      <w:sz w:val="20"/>
      <w:szCs w:val="20"/>
      <w:lang w:val="en-US" w:eastAsia="pt-PT"/>
    </w:rPr>
  </w:style>
  <w:style w:type="character" w:customStyle="1" w:styleId="Ttulo9Carcter">
    <w:name w:val="Título 9 Carácter"/>
    <w:basedOn w:val="Tipodeletrapredefinidodopargrafo"/>
    <w:link w:val="Ttulo9"/>
    <w:uiPriority w:val="99"/>
    <w:locked/>
    <w:rsid w:val="001B243C"/>
    <w:rPr>
      <w:rFonts w:ascii="Arial" w:hAnsi="Arial" w:cs="Times New Roman"/>
      <w:b/>
      <w:snapToGrid w:val="0"/>
      <w:sz w:val="20"/>
      <w:szCs w:val="20"/>
      <w:lang w:val="en-US" w:eastAsia="pt-PT"/>
    </w:rPr>
  </w:style>
  <w:style w:type="paragraph" w:styleId="Cabealho">
    <w:name w:val="header"/>
    <w:basedOn w:val="Normal"/>
    <w:link w:val="CabealhoCarcter"/>
    <w:uiPriority w:val="99"/>
    <w:rsid w:val="00283D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283DC6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283D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283DC6"/>
    <w:rPr>
      <w:rFonts w:ascii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uiPriority w:val="99"/>
    <w:rsid w:val="00283DC6"/>
    <w:rPr>
      <w:rFonts w:cs="Times New Roman"/>
    </w:rPr>
  </w:style>
  <w:style w:type="paragraph" w:styleId="Ttulo">
    <w:name w:val="Title"/>
    <w:basedOn w:val="Normal"/>
    <w:link w:val="TtuloCarcter"/>
    <w:uiPriority w:val="99"/>
    <w:qFormat/>
    <w:rsid w:val="001B243C"/>
    <w:pPr>
      <w:jc w:val="center"/>
    </w:pPr>
    <w:rPr>
      <w:b/>
      <w:sz w:val="28"/>
      <w:szCs w:val="20"/>
      <w:lang w:eastAsia="en-US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1B243C"/>
    <w:rPr>
      <w:rFonts w:ascii="Times New Roman" w:hAnsi="Times New Roman" w:cs="Times New Roman"/>
      <w:b/>
      <w:sz w:val="20"/>
      <w:szCs w:val="20"/>
    </w:rPr>
  </w:style>
  <w:style w:type="paragraph" w:styleId="Corpodetexto">
    <w:name w:val="Body Text"/>
    <w:basedOn w:val="Normal"/>
    <w:link w:val="CorpodetextoCarcter"/>
    <w:uiPriority w:val="99"/>
    <w:rsid w:val="001B243C"/>
    <w:rPr>
      <w:rFonts w:ascii="Arial" w:hAnsi="Arial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1B243C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1B243C"/>
    <w:pPr>
      <w:jc w:val="both"/>
    </w:pPr>
    <w:rPr>
      <w:sz w:val="28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locked/>
    <w:rsid w:val="001B243C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arcter"/>
    <w:uiPriority w:val="99"/>
    <w:rsid w:val="001B243C"/>
    <w:pPr>
      <w:jc w:val="both"/>
    </w:pPr>
    <w:rPr>
      <w:szCs w:val="20"/>
      <w:lang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locked/>
    <w:rsid w:val="001B243C"/>
    <w:rPr>
      <w:rFonts w:ascii="Times New Roman" w:hAnsi="Times New Roman" w:cs="Times New Roman"/>
      <w:sz w:val="20"/>
      <w:szCs w:val="20"/>
    </w:rPr>
  </w:style>
  <w:style w:type="paragraph" w:styleId="Avanodecorpodetexto">
    <w:name w:val="Body Text Indent"/>
    <w:basedOn w:val="Normal"/>
    <w:link w:val="AvanodecorpodetextoCarcter"/>
    <w:uiPriority w:val="99"/>
    <w:rsid w:val="001B243C"/>
    <w:pPr>
      <w:ind w:left="60"/>
      <w:jc w:val="both"/>
    </w:pPr>
    <w:rPr>
      <w:bCs/>
      <w:szCs w:val="20"/>
      <w:lang w:eastAsia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locked/>
    <w:rsid w:val="001B243C"/>
    <w:rPr>
      <w:rFonts w:ascii="Times New Roman" w:hAnsi="Times New Roman" w:cs="Times New Roman"/>
      <w:bCs/>
      <w:sz w:val="20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rsid w:val="001B243C"/>
    <w:pPr>
      <w:ind w:left="360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locked/>
    <w:rsid w:val="001B243C"/>
    <w:rPr>
      <w:rFonts w:ascii="Times New Roman" w:hAnsi="Times New Roman" w:cs="Times New Roman"/>
      <w:sz w:val="20"/>
      <w:szCs w:val="20"/>
    </w:rPr>
  </w:style>
  <w:style w:type="character" w:styleId="Hiperligao">
    <w:name w:val="Hyperlink"/>
    <w:basedOn w:val="Tipodeletrapredefinidodopargrafo"/>
    <w:uiPriority w:val="99"/>
    <w:rsid w:val="001B243C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rsid w:val="001B243C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1B243C"/>
    <w:rPr>
      <w:rFonts w:ascii="Tahoma" w:hAnsi="Tahoma" w:cs="Tahoma"/>
      <w:sz w:val="20"/>
      <w:szCs w:val="20"/>
      <w:shd w:val="clear" w:color="auto" w:fill="000080"/>
    </w:rPr>
  </w:style>
  <w:style w:type="table" w:styleId="Tabelacontempornea">
    <w:name w:val="Table Contemporary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elha">
    <w:name w:val="Table Grid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3">
    <w:name w:val="Table Web 3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comcolunas1">
    <w:name w:val="Table Columns 1"/>
    <w:basedOn w:val="Tabelanormal"/>
    <w:uiPriority w:val="99"/>
    <w:rsid w:val="001B243C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1">
    <w:name w:val="Table Subtle 1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7">
    <w:name w:val="Table List 7"/>
    <w:basedOn w:val="Tabelanormal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1B243C"/>
    <w:rPr>
      <w:rFonts w:ascii="Tahoma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B243C"/>
    <w:rPr>
      <w:rFonts w:ascii="Tahoma" w:hAnsi="Tahoma" w:cs="Tahoma"/>
      <w:sz w:val="16"/>
      <w:szCs w:val="16"/>
    </w:rPr>
  </w:style>
  <w:style w:type="table" w:customStyle="1" w:styleId="ListaClara-Cor51">
    <w:name w:val="Lista Clara - Cor 5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Clara-Cor51">
    <w:name w:val="Grelha Clara - Cor 5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11">
    <w:name w:val="Light List - Accent 1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2-Cor11">
    <w:name w:val="Grelha Média 2 - Cor 11"/>
    <w:uiPriority w:val="99"/>
    <w:rsid w:val="001B243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SombreadoMdio2-Cor51">
    <w:name w:val="Sombreado Médio 2 - Cor 5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olorida-Cor51">
    <w:name w:val="Grelha Colorida - Cor 51"/>
    <w:uiPriority w:val="99"/>
    <w:rsid w:val="001B243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SombreadoClaro-Cor31">
    <w:name w:val="Sombreado Claro - Cor 31"/>
    <w:uiPriority w:val="99"/>
    <w:rsid w:val="001B243C"/>
    <w:rPr>
      <w:rFonts w:ascii="Times New Roman" w:eastAsia="Times New Roman" w:hAnsi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11">
    <w:name w:val="Light Shading - Accent 11"/>
    <w:uiPriority w:val="99"/>
    <w:rsid w:val="001B243C"/>
    <w:rPr>
      <w:rFonts w:ascii="Times New Roman" w:eastAsia="Times New Roman" w:hAnsi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Cor51">
    <w:name w:val="Sombreado Claro - Cor 51"/>
    <w:uiPriority w:val="99"/>
    <w:rsid w:val="001B243C"/>
    <w:rPr>
      <w:rFonts w:ascii="Times New Roman" w:eastAsia="Times New Roman" w:hAnsi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rsid w:val="001B243C"/>
    <w:rPr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1B243C"/>
    <w:rPr>
      <w:rFonts w:ascii="Times New Roman" w:hAnsi="Times New Roman" w:cs="Times New Roman"/>
      <w:sz w:val="20"/>
      <w:szCs w:val="20"/>
    </w:rPr>
  </w:style>
  <w:style w:type="table" w:customStyle="1" w:styleId="GrelhaMdia3-Cor11">
    <w:name w:val="Grelha Média 3 - Cor 11"/>
    <w:uiPriority w:val="99"/>
    <w:rsid w:val="001B24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olorido-Cor51">
    <w:name w:val="Sombreado Colorido - Cor 51"/>
    <w:uiPriority w:val="99"/>
    <w:rsid w:val="001B243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Hiperligaovisitada">
    <w:name w:val="FollowedHyperlink"/>
    <w:basedOn w:val="Tipodeletrapredefinidodopargrafo"/>
    <w:uiPriority w:val="99"/>
    <w:rsid w:val="001B243C"/>
    <w:rPr>
      <w:rFonts w:cs="Times New Roman"/>
      <w:color w:val="800080"/>
      <w:u w:val="single"/>
    </w:rPr>
  </w:style>
  <w:style w:type="paragraph" w:styleId="Ttulodondice">
    <w:name w:val="TOC Heading"/>
    <w:basedOn w:val="Ttulo1"/>
    <w:next w:val="Normal"/>
    <w:uiPriority w:val="99"/>
    <w:qFormat/>
    <w:rsid w:val="00022E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99"/>
    <w:rsid w:val="00150973"/>
    <w:pPr>
      <w:tabs>
        <w:tab w:val="right" w:leader="dot" w:pos="9345"/>
      </w:tabs>
      <w:spacing w:after="100" w:line="360" w:lineRule="auto"/>
    </w:pPr>
    <w:rPr>
      <w:rFonts w:ascii="Calibri" w:hAnsi="Calibri"/>
      <w:noProof/>
      <w:sz w:val="22"/>
      <w:szCs w:val="22"/>
    </w:rPr>
  </w:style>
  <w:style w:type="paragraph" w:styleId="ndice2">
    <w:name w:val="toc 2"/>
    <w:basedOn w:val="Normal"/>
    <w:next w:val="Normal"/>
    <w:autoRedefine/>
    <w:uiPriority w:val="99"/>
    <w:rsid w:val="00022E14"/>
    <w:pPr>
      <w:spacing w:after="100"/>
      <w:ind w:left="240"/>
    </w:pPr>
  </w:style>
  <w:style w:type="paragraph" w:styleId="PargrafodaLista">
    <w:name w:val="List Paragraph"/>
    <w:basedOn w:val="Normal"/>
    <w:uiPriority w:val="99"/>
    <w:qFormat/>
    <w:rsid w:val="00445AB4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rsid w:val="008F5BC4"/>
    <w:pPr>
      <w:spacing w:after="200"/>
    </w:pPr>
    <w:rPr>
      <w:b/>
      <w:bCs/>
      <w:color w:val="4F81BD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8F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oleObject" Target="embeddings/Folha_de_C_lculo_do_Microsoft_Office_Excel_97-20031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hyperlink" Target="http://www.dgs.pt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gsilva.DGS\Os%20meus%20documentos\Goreti\INCS\VE_INCS_3\INCS_2011\Dados_INCS_20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cih\Os%20meus%20documentos\GORETI1\INCS_2010_2011Novo\INCS_2010_2011_Relat&#243;rio_Word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cih\Os%20meus%20documentos\GORETI1\INCS_2010_2011Novo\INCS_2010_2011_Relat&#243;rio_Word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cih\Os%20meus%20documentos\GORETI1\INCS_2010_2011Novo\INCS_2010_2011_Relat&#243;rio_Word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cih\Os%20meus%20documentos\GORETI1\INCS_2010_2011Novo\INCS_2010_2011_Relat&#243;rio_Word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cih\Ambiente%20de%20trabalho\Dados_INCS_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85056494663391"/>
          <c:y val="9.8442998972954526E-2"/>
          <c:w val="0.89149435053366133"/>
          <c:h val="0.52602852904256536"/>
        </c:manualLayout>
      </c:layout>
      <c:pie3DChart>
        <c:varyColors val="1"/>
        <c:ser>
          <c:idx val="0"/>
          <c:order val="0"/>
          <c:tx>
            <c:strRef>
              <c:f>Factores_Risco!$F$30</c:f>
              <c:strCache>
                <c:ptCount val="1"/>
                <c:pt idx="0">
                  <c:v>Frequência</c:v>
                </c:pt>
              </c:strCache>
            </c:strRef>
          </c:tx>
          <c:explosion val="25"/>
          <c:dPt>
            <c:idx val="4"/>
            <c:spPr>
              <a:solidFill>
                <a:srgbClr val="FFC000"/>
              </a:solidFill>
            </c:spPr>
          </c:dPt>
          <c:dLbls>
            <c:dLbl>
              <c:idx val="4"/>
              <c:layout>
                <c:manualLayout>
                  <c:x val="3.1838910761155026E-2"/>
                  <c:y val="-5.5322615923009896E-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sz="800" b="1"/>
                </a:pPr>
                <a:endParaRPr lang="pt-PT"/>
              </a:p>
            </c:txPr>
            <c:showVal val="1"/>
            <c:showPercent val="1"/>
            <c:showLeaderLines val="1"/>
          </c:dLbls>
          <c:cat>
            <c:strRef>
              <c:f>Factores_Risco!$E$31:$E$35</c:f>
              <c:strCache>
                <c:ptCount val="5"/>
                <c:pt idx="0">
                  <c:v> Neoplasia </c:v>
                </c:pt>
                <c:pt idx="1">
                  <c:v> Outra Imunodeficiência </c:v>
                </c:pt>
                <c:pt idx="2">
                  <c:v>Diabetes</c:v>
                </c:pt>
                <c:pt idx="3">
                  <c:v> Neutropénia ( &lt; a 500 neutróf/mm3) </c:v>
                </c:pt>
                <c:pt idx="4">
                  <c:v> VIH/SIDA </c:v>
                </c:pt>
              </c:strCache>
            </c:strRef>
          </c:cat>
          <c:val>
            <c:numRef>
              <c:f>Factores_Risco!$F$31:$F$35</c:f>
              <c:numCache>
                <c:formatCode>General</c:formatCode>
                <c:ptCount val="5"/>
                <c:pt idx="0">
                  <c:v>754</c:v>
                </c:pt>
                <c:pt idx="1">
                  <c:v>291</c:v>
                </c:pt>
                <c:pt idx="2">
                  <c:v>350</c:v>
                </c:pt>
                <c:pt idx="3">
                  <c:v>299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Factores_Risco!$G$30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Factores_Risco!$E$31:$E$35</c:f>
              <c:strCache>
                <c:ptCount val="5"/>
                <c:pt idx="0">
                  <c:v> Neoplasia </c:v>
                </c:pt>
                <c:pt idx="1">
                  <c:v> Outra Imunodeficiência </c:v>
                </c:pt>
                <c:pt idx="2">
                  <c:v>Diabetes</c:v>
                </c:pt>
                <c:pt idx="3">
                  <c:v> Neutropénia ( &lt; a 500 neutróf/mm3) </c:v>
                </c:pt>
                <c:pt idx="4">
                  <c:v> VIH/SIDA </c:v>
                </c:pt>
              </c:strCache>
            </c:strRef>
          </c:cat>
          <c:val>
            <c:numRef>
              <c:f>Factores_Risco!$G$31:$G$35</c:f>
              <c:numCache>
                <c:formatCode>0.0%</c:formatCode>
                <c:ptCount val="5"/>
                <c:pt idx="0">
                  <c:v>0.3140000000000005</c:v>
                </c:pt>
                <c:pt idx="1">
                  <c:v>0.111</c:v>
                </c:pt>
                <c:pt idx="2">
                  <c:v>0.14600000000000021</c:v>
                </c:pt>
                <c:pt idx="3">
                  <c:v>0.125</c:v>
                </c:pt>
                <c:pt idx="4">
                  <c:v>4.2000000000000023E-2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"/>
          <c:y val="0.65611946782514263"/>
          <c:w val="1"/>
          <c:h val="0.30352309409599681"/>
        </c:manualLayout>
      </c:layout>
      <c:txPr>
        <a:bodyPr/>
        <a:lstStyle/>
        <a:p>
          <a:pPr>
            <a:defRPr sz="700" b="1"/>
          </a:pPr>
          <a:endParaRPr lang="pt-PT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'Origens prováveis'!$F$18</c:f>
              <c:strCache>
                <c:ptCount val="1"/>
                <c:pt idx="0">
                  <c:v>N.º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0427100375540641"/>
                  <c:y val="-0.11814593489986135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  <a:r>
                      <a:rPr lang="en-US"/>
                      <a:t>9,5%;</a:t>
                    </a:r>
                  </a:p>
                  <a:p>
                    <a:r>
                      <a:rPr lang="en-US"/>
                      <a:t>1480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3.6970212791406741E-2"/>
                  <c:y val="-3.052992581788405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en-US"/>
                      <a:t>9,7%;</a:t>
                    </a:r>
                  </a:p>
                  <a:p>
                    <a:r>
                      <a:rPr lang="en-US"/>
                      <a:t>738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0.17450547462512375"/>
                  <c:y val="-0.1136920246867900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0,8%;</a:t>
                    </a:r>
                  </a:p>
                  <a:p>
                    <a:r>
                      <a:rPr lang="en-US"/>
                      <a:t>1526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Percent val="1"/>
          </c:dLbls>
          <c:cat>
            <c:strRef>
              <c:f>'Origens prováveis'!$E$19:$E$21</c:f>
              <c:strCache>
                <c:ptCount val="3"/>
                <c:pt idx="0">
                  <c:v>Primária/Desconhecida</c:v>
                </c:pt>
                <c:pt idx="1">
                  <c:v>Cateter Vascular Central</c:v>
                </c:pt>
                <c:pt idx="2">
                  <c:v>Secundárias</c:v>
                </c:pt>
              </c:strCache>
            </c:strRef>
          </c:cat>
          <c:val>
            <c:numRef>
              <c:f>'Origens prováveis'!$F$19:$F$21</c:f>
              <c:numCache>
                <c:formatCode>0</c:formatCode>
                <c:ptCount val="3"/>
                <c:pt idx="0">
                  <c:v>1480</c:v>
                </c:pt>
                <c:pt idx="1">
                  <c:v>738</c:v>
                </c:pt>
                <c:pt idx="2" formatCode="General">
                  <c:v>1526</c:v>
                </c:pt>
              </c:numCache>
            </c:numRef>
          </c:val>
        </c:ser>
        <c:ser>
          <c:idx val="1"/>
          <c:order val="1"/>
          <c:tx>
            <c:strRef>
              <c:f>'Origens prováveis'!$G$18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Percent val="1"/>
          </c:dLbls>
          <c:cat>
            <c:strRef>
              <c:f>'Origens prováveis'!$E$19:$E$21</c:f>
              <c:strCache>
                <c:ptCount val="3"/>
                <c:pt idx="0">
                  <c:v>Primária/Desconhecida</c:v>
                </c:pt>
                <c:pt idx="1">
                  <c:v>Cateter Vascular Central</c:v>
                </c:pt>
                <c:pt idx="2">
                  <c:v>Secundárias</c:v>
                </c:pt>
              </c:strCache>
            </c:strRef>
          </c:cat>
          <c:val>
            <c:numRef>
              <c:f>'Origens prováveis'!$G$19:$G$21</c:f>
              <c:numCache>
                <c:formatCode>0.0%</c:formatCode>
                <c:ptCount val="3"/>
                <c:pt idx="0">
                  <c:v>0.39500000000000257</c:v>
                </c:pt>
                <c:pt idx="1">
                  <c:v>0.19700000000000006</c:v>
                </c:pt>
                <c:pt idx="2" formatCode="0.00%">
                  <c:v>0.40800000000000008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325665069796741"/>
          <c:y val="3.0757134080922812E-2"/>
          <c:w val="0.54910206890676339"/>
          <c:h val="0.25182585165374088"/>
        </c:manualLayout>
      </c:layout>
      <c:txPr>
        <a:bodyPr/>
        <a:lstStyle/>
        <a:p>
          <a:pPr>
            <a:defRPr sz="900"/>
          </a:pPr>
          <a:endParaRPr lang="pt-PT"/>
        </a:p>
      </c:txPr>
    </c:legend>
    <c:plotVisOnly val="1"/>
  </c:chart>
  <c:spPr>
    <a:ln w="15875">
      <a:solidFill>
        <a:srgbClr val="4F81BD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'Origens prováveis'!$P$1</c:f>
              <c:strCache>
                <c:ptCount val="1"/>
                <c:pt idx="0">
                  <c:v>N.º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Percent val="1"/>
          </c:dLbls>
          <c:cat>
            <c:strRef>
              <c:f>'Origens prováveis'!$O$2:$O$8</c:f>
              <c:strCache>
                <c:ptCount val="7"/>
                <c:pt idx="0">
                  <c:v>Inf.Urinária</c:v>
                </c:pt>
                <c:pt idx="1">
                  <c:v>Inf.Respiratória</c:v>
                </c:pt>
                <c:pt idx="2">
                  <c:v>Inf.Intra-Abdominal</c:v>
                </c:pt>
                <c:pt idx="3">
                  <c:v>Inf. Pele/tecidos moles</c:v>
                </c:pt>
                <c:pt idx="4">
                  <c:v>Outra Infecção</c:v>
                </c:pt>
                <c:pt idx="5">
                  <c:v>Inf. Local Cirúrgico</c:v>
                </c:pt>
                <c:pt idx="6">
                  <c:v>Inf. Gastro-Intestinal</c:v>
                </c:pt>
              </c:strCache>
            </c:strRef>
          </c:cat>
          <c:val>
            <c:numRef>
              <c:f>'Origens prováveis'!$P$2:$P$8</c:f>
              <c:numCache>
                <c:formatCode>0</c:formatCode>
                <c:ptCount val="7"/>
                <c:pt idx="0">
                  <c:v>475</c:v>
                </c:pt>
                <c:pt idx="1">
                  <c:v>447</c:v>
                </c:pt>
                <c:pt idx="2">
                  <c:v>161</c:v>
                </c:pt>
                <c:pt idx="3">
                  <c:v>145</c:v>
                </c:pt>
                <c:pt idx="4">
                  <c:v>113</c:v>
                </c:pt>
                <c:pt idx="5">
                  <c:v>102</c:v>
                </c:pt>
                <c:pt idx="6">
                  <c:v>83</c:v>
                </c:pt>
              </c:numCache>
            </c:numRef>
          </c:val>
        </c:ser>
        <c:ser>
          <c:idx val="1"/>
          <c:order val="1"/>
          <c:tx>
            <c:strRef>
              <c:f>'Origens prováveis'!$Q$1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Percent val="1"/>
          </c:dLbls>
          <c:cat>
            <c:strRef>
              <c:f>'Origens prováveis'!$O$2:$O$8</c:f>
              <c:strCache>
                <c:ptCount val="7"/>
                <c:pt idx="0">
                  <c:v>Inf.Urinária</c:v>
                </c:pt>
                <c:pt idx="1">
                  <c:v>Inf.Respiratória</c:v>
                </c:pt>
                <c:pt idx="2">
                  <c:v>Inf.Intra-Abdominal</c:v>
                </c:pt>
                <c:pt idx="3">
                  <c:v>Inf. Pele/tecidos moles</c:v>
                </c:pt>
                <c:pt idx="4">
                  <c:v>Outra Infecção</c:v>
                </c:pt>
                <c:pt idx="5">
                  <c:v>Inf. Local Cirúrgico</c:v>
                </c:pt>
                <c:pt idx="6">
                  <c:v>Inf. Gastro-Intestinal</c:v>
                </c:pt>
              </c:strCache>
            </c:strRef>
          </c:cat>
          <c:val>
            <c:numRef>
              <c:f>'Origens prováveis'!$Q$2:$Q$8</c:f>
              <c:numCache>
                <c:formatCode>0.0%</c:formatCode>
                <c:ptCount val="7"/>
                <c:pt idx="0">
                  <c:v>0.127</c:v>
                </c:pt>
                <c:pt idx="1">
                  <c:v>0.11900000000000002</c:v>
                </c:pt>
                <c:pt idx="2">
                  <c:v>4.3000000000000003E-2</c:v>
                </c:pt>
                <c:pt idx="3">
                  <c:v>3.9000000000000014E-2</c:v>
                </c:pt>
                <c:pt idx="4">
                  <c:v>3.0000000000000002E-2</c:v>
                </c:pt>
                <c:pt idx="5">
                  <c:v>2.7000000000000208E-2</c:v>
                </c:pt>
                <c:pt idx="6">
                  <c:v>2.2000000000000016E-2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1.5662324027678361E-2"/>
          <c:y val="2.7868828649383282E-2"/>
          <c:w val="0.95655413982343118"/>
          <c:h val="0.25490730654715593"/>
        </c:manualLayout>
      </c:layout>
      <c:txPr>
        <a:bodyPr/>
        <a:lstStyle/>
        <a:p>
          <a:pPr>
            <a:defRPr sz="900"/>
          </a:pPr>
          <a:endParaRPr lang="pt-PT"/>
        </a:p>
      </c:txPr>
    </c:legend>
    <c:plotVisOnly val="1"/>
  </c:chart>
  <c:spPr>
    <a:ln w="15875">
      <a:solidFill>
        <a:srgbClr val="0070C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0"/>
  <c:chart>
    <c:title>
      <c:tx>
        <c:rich>
          <a:bodyPr/>
          <a:lstStyle/>
          <a:p>
            <a:pPr>
              <a:defRPr sz="1050"/>
            </a:pPr>
            <a:r>
              <a:rPr lang="pt-PT" sz="1050"/>
              <a:t>Taxa de INCS/por ‰ dias de exposição ao CVC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028652668416461E-2"/>
          <c:y val="0.14366767983789291"/>
          <c:w val="0.5919580052493435"/>
          <c:h val="0.81977710233029832"/>
        </c:manualLayout>
      </c:layout>
      <c:pie3D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Taxa de INCS/por CVC</c:v>
                </c:pt>
              </c:strCache>
            </c:strRef>
          </c:tx>
          <c:explosion val="27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1,5   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1,1  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0,2   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3.6966819325298605E-2"/>
                  <c:y val="-3.4365221125962131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3,9   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3.4994724898634984E-2"/>
                  <c:y val="2.541654193081095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6,1   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3344231555285725E-2"/>
                  <c:y val="-3.1676841169475181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2,2   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4.5387796949577326E-3"/>
                  <c:y val="-4.848001208383342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2,4   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2.5612300669815458E-2"/>
                  <c:y val="-2.367585116866505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2,5   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1.5813949967712522E-2"/>
                  <c:y val="-1.729407664680902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2,5   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0,8   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 sz="1050"/>
                      <a:t>1,0  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  <c:showLeaderLines val="1"/>
          </c:dLbls>
          <c:cat>
            <c:strRef>
              <c:f>Folha1!$A$2:$A$12</c:f>
              <c:strCache>
                <c:ptCount val="11"/>
                <c:pt idx="0">
                  <c:v>UCI Polivalente</c:v>
                </c:pt>
                <c:pt idx="1">
                  <c:v>Outras UCI's</c:v>
                </c:pt>
                <c:pt idx="2">
                  <c:v>UCI Pediátric.</c:v>
                </c:pt>
                <c:pt idx="3">
                  <c:v>Hemat.ª/Oncol.ª</c:v>
                </c:pt>
                <c:pt idx="4">
                  <c:v>Hemat.ª/Oncol.ª Pediat.ª</c:v>
                </c:pt>
                <c:pt idx="5">
                  <c:v>Medicina Interna</c:v>
                </c:pt>
                <c:pt idx="6">
                  <c:v>Espec. Médicas</c:v>
                </c:pt>
                <c:pt idx="7">
                  <c:v>Cirurgia Geral</c:v>
                </c:pt>
                <c:pt idx="8">
                  <c:v>Espec. Cirúrgicas</c:v>
                </c:pt>
                <c:pt idx="9">
                  <c:v>Outros Serv. Pediat.os</c:v>
                </c:pt>
                <c:pt idx="10">
                  <c:v>Outros Serviços</c:v>
                </c:pt>
              </c:strCache>
            </c:strRef>
          </c:cat>
          <c:val>
            <c:numRef>
              <c:f>Folha1!$B$2:$B$12</c:f>
              <c:numCache>
                <c:formatCode>_-* #,##0.00\ _€_-;\-* #,##0.00\ _€_-;_-* "-"??\ _€_-;_-@_-</c:formatCode>
                <c:ptCount val="11"/>
                <c:pt idx="0">
                  <c:v>1.5</c:v>
                </c:pt>
                <c:pt idx="1">
                  <c:v>1.1000000000000001</c:v>
                </c:pt>
                <c:pt idx="2">
                  <c:v>0.2</c:v>
                </c:pt>
                <c:pt idx="3">
                  <c:v>3.9</c:v>
                </c:pt>
                <c:pt idx="4">
                  <c:v>6.1</c:v>
                </c:pt>
                <c:pt idx="5">
                  <c:v>2.2000000000000002</c:v>
                </c:pt>
                <c:pt idx="6">
                  <c:v>2.4</c:v>
                </c:pt>
                <c:pt idx="7">
                  <c:v>2.5</c:v>
                </c:pt>
                <c:pt idx="8">
                  <c:v>2.5</c:v>
                </c:pt>
                <c:pt idx="9">
                  <c:v>0.8</c:v>
                </c:pt>
                <c:pt idx="1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76071398928071"/>
          <c:y val="0.16218360693328029"/>
          <c:w val="0.33792440291647435"/>
          <c:h val="0.80170957125139564"/>
        </c:manualLayout>
      </c:layout>
      <c:txPr>
        <a:bodyPr/>
        <a:lstStyle/>
        <a:p>
          <a:pPr>
            <a:defRPr sz="800"/>
          </a:pPr>
          <a:endParaRPr lang="pt-PT"/>
        </a:p>
      </c:txPr>
    </c:legend>
    <c:plotVisOnly val="1"/>
  </c:chart>
  <c:spPr>
    <a:ln w="3175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'Demora média'!$B$2</c:f>
              <c:strCache>
                <c:ptCount val="1"/>
                <c:pt idx="0">
                  <c:v>Média doentes/com INCS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</c:dLbls>
          <c:cat>
            <c:strRef>
              <c:f>'Demora média'!$A$3:$A$16</c:f>
              <c:strCache>
                <c:ptCount val="14"/>
                <c:pt idx="0">
                  <c:v>UCI Pediátricas</c:v>
                </c:pt>
                <c:pt idx="1">
                  <c:v>Outros Serviços Pediátricos</c:v>
                </c:pt>
                <c:pt idx="2">
                  <c:v>Especialidades Cirúrgicas</c:v>
                </c:pt>
                <c:pt idx="3">
                  <c:v>Outras UCI's</c:v>
                </c:pt>
                <c:pt idx="4">
                  <c:v>UCI Polivalente</c:v>
                </c:pt>
                <c:pt idx="5">
                  <c:v>Especialidades Médicas</c:v>
                </c:pt>
                <c:pt idx="6">
                  <c:v>Cirurgia Geral</c:v>
                </c:pt>
                <c:pt idx="7">
                  <c:v>Hematologia/Oncologia</c:v>
                </c:pt>
                <c:pt idx="8">
                  <c:v>Medicina Interna</c:v>
                </c:pt>
                <c:pt idx="9">
                  <c:v>Hematologia/Oncologia Pediátrica</c:v>
                </c:pt>
                <c:pt idx="10">
                  <c:v>Pediatria</c:v>
                </c:pt>
                <c:pt idx="11">
                  <c:v>Ginecologia</c:v>
                </c:pt>
                <c:pt idx="12">
                  <c:v>Outros Serviços</c:v>
                </c:pt>
                <c:pt idx="13">
                  <c:v>Obstetricia</c:v>
                </c:pt>
              </c:strCache>
            </c:strRef>
          </c:cat>
          <c:val>
            <c:numRef>
              <c:f>'Demora média'!$B$3:$B$16</c:f>
              <c:numCache>
                <c:formatCode>0.0</c:formatCode>
                <c:ptCount val="14"/>
                <c:pt idx="0">
                  <c:v>76.8</c:v>
                </c:pt>
                <c:pt idx="1">
                  <c:v>56</c:v>
                </c:pt>
                <c:pt idx="2">
                  <c:v>45.9</c:v>
                </c:pt>
                <c:pt idx="3">
                  <c:v>43.2</c:v>
                </c:pt>
                <c:pt idx="4">
                  <c:v>41.7</c:v>
                </c:pt>
                <c:pt idx="5">
                  <c:v>37.800000000000004</c:v>
                </c:pt>
                <c:pt idx="6">
                  <c:v>34.700000000000003</c:v>
                </c:pt>
                <c:pt idx="7">
                  <c:v>29.3</c:v>
                </c:pt>
                <c:pt idx="8">
                  <c:v>28.7</c:v>
                </c:pt>
                <c:pt idx="9">
                  <c:v>27.3</c:v>
                </c:pt>
                <c:pt idx="10">
                  <c:v>24.1</c:v>
                </c:pt>
                <c:pt idx="11">
                  <c:v>30.3</c:v>
                </c:pt>
                <c:pt idx="12">
                  <c:v>21.9</c:v>
                </c:pt>
                <c:pt idx="13">
                  <c:v>20.5</c:v>
                </c:pt>
              </c:numCache>
            </c:numRef>
          </c:val>
        </c:ser>
        <c:ser>
          <c:idx val="1"/>
          <c:order val="1"/>
          <c:tx>
            <c:strRef>
              <c:f>'Demora média'!$C$2</c:f>
              <c:strCache>
                <c:ptCount val="1"/>
                <c:pt idx="0">
                  <c:v>Média global/Doentes estudados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</c:dLbls>
          <c:cat>
            <c:strRef>
              <c:f>'Demora média'!$A$3:$A$16</c:f>
              <c:strCache>
                <c:ptCount val="14"/>
                <c:pt idx="0">
                  <c:v>UCI Pediátricas</c:v>
                </c:pt>
                <c:pt idx="1">
                  <c:v>Outros Serviços Pediátricos</c:v>
                </c:pt>
                <c:pt idx="2">
                  <c:v>Especialidades Cirúrgicas</c:v>
                </c:pt>
                <c:pt idx="3">
                  <c:v>Outras UCI's</c:v>
                </c:pt>
                <c:pt idx="4">
                  <c:v>UCI Polivalente</c:v>
                </c:pt>
                <c:pt idx="5">
                  <c:v>Especialidades Médicas</c:v>
                </c:pt>
                <c:pt idx="6">
                  <c:v>Cirurgia Geral</c:v>
                </c:pt>
                <c:pt idx="7">
                  <c:v>Hematologia/Oncologia</c:v>
                </c:pt>
                <c:pt idx="8">
                  <c:v>Medicina Interna</c:v>
                </c:pt>
                <c:pt idx="9">
                  <c:v>Hematologia/Oncologia Pediátrica</c:v>
                </c:pt>
                <c:pt idx="10">
                  <c:v>Pediatria</c:v>
                </c:pt>
                <c:pt idx="11">
                  <c:v>Ginecologia</c:v>
                </c:pt>
                <c:pt idx="12">
                  <c:v>Outros Serviços</c:v>
                </c:pt>
                <c:pt idx="13">
                  <c:v>Obstetricia</c:v>
                </c:pt>
              </c:strCache>
            </c:strRef>
          </c:cat>
          <c:val>
            <c:numRef>
              <c:f>'Demora média'!$C$3:$C$16</c:f>
              <c:numCache>
                <c:formatCode>0.0</c:formatCode>
                <c:ptCount val="14"/>
                <c:pt idx="0">
                  <c:v>8.6</c:v>
                </c:pt>
                <c:pt idx="1">
                  <c:v>9.6</c:v>
                </c:pt>
                <c:pt idx="2">
                  <c:v>7.5</c:v>
                </c:pt>
                <c:pt idx="3">
                  <c:v>5.8</c:v>
                </c:pt>
                <c:pt idx="4">
                  <c:v>6.2</c:v>
                </c:pt>
                <c:pt idx="5">
                  <c:v>7.4</c:v>
                </c:pt>
                <c:pt idx="6">
                  <c:v>5.9</c:v>
                </c:pt>
                <c:pt idx="7">
                  <c:v>8.3000000000000007</c:v>
                </c:pt>
                <c:pt idx="8">
                  <c:v>9.6</c:v>
                </c:pt>
                <c:pt idx="9">
                  <c:v>8</c:v>
                </c:pt>
                <c:pt idx="10">
                  <c:v>4</c:v>
                </c:pt>
                <c:pt idx="11">
                  <c:v>4.5</c:v>
                </c:pt>
                <c:pt idx="12">
                  <c:v>3</c:v>
                </c:pt>
                <c:pt idx="13">
                  <c:v>3.2</c:v>
                </c:pt>
              </c:numCache>
            </c:numRef>
          </c:val>
        </c:ser>
        <c:axId val="167622528"/>
        <c:axId val="167632896"/>
      </c:barChart>
      <c:catAx>
        <c:axId val="16762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PT"/>
          </a:p>
        </c:txPr>
        <c:crossAx val="167632896"/>
        <c:crosses val="autoZero"/>
        <c:auto val="1"/>
        <c:lblAlgn val="ctr"/>
        <c:lblOffset val="100"/>
      </c:catAx>
      <c:valAx>
        <c:axId val="167632896"/>
        <c:scaling>
          <c:orientation val="minMax"/>
        </c:scaling>
        <c:axPos val="l"/>
        <c:majorGridlines/>
        <c:numFmt formatCode="0" sourceLinked="0"/>
        <c:tickLblPos val="nextTo"/>
        <c:crossAx val="167622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2151442522090659E-2"/>
          <c:y val="2.986362669055757E-2"/>
          <c:w val="0.89173786979273517"/>
          <c:h val="9.0003562472003265E-2"/>
        </c:manualLayout>
      </c:layout>
    </c:legend>
    <c:plotVisOnly val="1"/>
  </c:chart>
  <c:spPr>
    <a:ln w="19050">
      <a:solidFill>
        <a:srgbClr val="0070C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barChart>
        <c:barDir val="bar"/>
        <c:grouping val="clustered"/>
        <c:ser>
          <c:idx val="0"/>
          <c:order val="0"/>
          <c:tx>
            <c:strRef>
              <c:f>Microrg_Serviços!$E$1</c:f>
              <c:strCache>
                <c:ptCount val="1"/>
                <c:pt idx="0">
                  <c:v>Gram+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775459290444611E-2"/>
                </c:manualLayout>
              </c:layout>
              <c:showVal val="1"/>
            </c:dLbl>
            <c:dLbl>
              <c:idx val="4"/>
              <c:layout>
                <c:manualLayout>
                  <c:x val="-8.46560705485043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8.465607054850435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081120837982724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4.5286335256029524E-3"/>
                  <c:y val="7.4823194847570907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</c:dLbls>
          <c:cat>
            <c:strRef>
              <c:f>Microrg_Serviços!$D$2:$D$10</c:f>
              <c:strCache>
                <c:ptCount val="9"/>
                <c:pt idx="0">
                  <c:v>Medicina /Esp. Médicas</c:v>
                </c:pt>
                <c:pt idx="1">
                  <c:v>UCI's polivalentes/Outras</c:v>
                </c:pt>
                <c:pt idx="2">
                  <c:v>Cirurgia G./Esp.Cirurg.</c:v>
                </c:pt>
                <c:pt idx="3">
                  <c:v>Hematologia/Oncologia</c:v>
                </c:pt>
                <c:pt idx="4">
                  <c:v>Hematologia/Oncologia Pediátrica</c:v>
                </c:pt>
                <c:pt idx="5">
                  <c:v>Outros Serviços Pediátricos</c:v>
                </c:pt>
                <c:pt idx="6">
                  <c:v>Pediatria/UCI Pediátricas</c:v>
                </c:pt>
                <c:pt idx="7">
                  <c:v>Outros Serviços</c:v>
                </c:pt>
                <c:pt idx="8">
                  <c:v>Ginecologia/Obstetricia</c:v>
                </c:pt>
              </c:strCache>
            </c:strRef>
          </c:cat>
          <c:val>
            <c:numRef>
              <c:f>Microrg_Serviços!$E$2:$E$10</c:f>
              <c:numCache>
                <c:formatCode>0</c:formatCode>
                <c:ptCount val="9"/>
                <c:pt idx="0">
                  <c:v>453</c:v>
                </c:pt>
                <c:pt idx="1">
                  <c:v>260</c:v>
                </c:pt>
                <c:pt idx="2">
                  <c:v>238</c:v>
                </c:pt>
                <c:pt idx="3">
                  <c:v>126</c:v>
                </c:pt>
                <c:pt idx="4">
                  <c:v>37</c:v>
                </c:pt>
                <c:pt idx="5">
                  <c:v>58</c:v>
                </c:pt>
                <c:pt idx="6">
                  <c:v>6</c:v>
                </c:pt>
                <c:pt idx="7">
                  <c:v>9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Microrg_Serviços!$F$1</c:f>
              <c:strCache>
                <c:ptCount val="1"/>
                <c:pt idx="0">
                  <c:v>Gram-</c:v>
                </c:pt>
              </c:strCache>
            </c:strRef>
          </c:tx>
          <c:dLbls>
            <c:dLbl>
              <c:idx val="0"/>
              <c:layout>
                <c:manualLayout>
                  <c:x val="-1.2698410582275452E-2"/>
                  <c:y val="-9.1954022988507203E-3"/>
                </c:manualLayout>
              </c:layout>
              <c:showVal val="1"/>
            </c:dLbl>
            <c:dLbl>
              <c:idx val="2"/>
              <c:layout>
                <c:manualLayout>
                  <c:x val="-1.0582008818562961E-2"/>
                  <c:y val="-9.1954022988507203E-3"/>
                </c:manualLayout>
              </c:layout>
              <c:showVal val="1"/>
            </c:dLbl>
            <c:dLbl>
              <c:idx val="4"/>
              <c:layout>
                <c:manualLayout>
                  <c:x val="-1.2652518909399346E-2"/>
                  <c:y val="-4.135455375505861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9.1836395269631315E-3"/>
                </c:manualLayout>
              </c:layout>
              <c:showVal val="1"/>
            </c:dLbl>
            <c:dLbl>
              <c:idx val="7"/>
              <c:layout>
                <c:manualLayout>
                  <c:x val="-8.465607054850435E-3"/>
                  <c:y val="-9.1954022988507203E-3"/>
                </c:manualLayout>
              </c:layout>
              <c:showVal val="1"/>
            </c:dLbl>
            <c:dLbl>
              <c:idx val="8"/>
              <c:layout>
                <c:manualLayout>
                  <c:x val="-4.5286778525009622E-3"/>
                  <c:y val="-4.5918197634815458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</c:dLbls>
          <c:cat>
            <c:strRef>
              <c:f>Microrg_Serviços!$D$2:$D$10</c:f>
              <c:strCache>
                <c:ptCount val="9"/>
                <c:pt idx="0">
                  <c:v>Medicina /Esp. Médicas</c:v>
                </c:pt>
                <c:pt idx="1">
                  <c:v>UCI's polivalentes/Outras</c:v>
                </c:pt>
                <c:pt idx="2">
                  <c:v>Cirurgia G./Esp.Cirurg.</c:v>
                </c:pt>
                <c:pt idx="3">
                  <c:v>Hematologia/Oncologia</c:v>
                </c:pt>
                <c:pt idx="4">
                  <c:v>Hematologia/Oncologia Pediátrica</c:v>
                </c:pt>
                <c:pt idx="5">
                  <c:v>Outros Serviços Pediátricos</c:v>
                </c:pt>
                <c:pt idx="6">
                  <c:v>Pediatria/UCI Pediátricas</c:v>
                </c:pt>
                <c:pt idx="7">
                  <c:v>Outros Serviços</c:v>
                </c:pt>
                <c:pt idx="8">
                  <c:v>Ginecologia/Obstetricia</c:v>
                </c:pt>
              </c:strCache>
            </c:strRef>
          </c:cat>
          <c:val>
            <c:numRef>
              <c:f>Microrg_Serviços!$F$2:$F$10</c:f>
              <c:numCache>
                <c:formatCode>0</c:formatCode>
                <c:ptCount val="9"/>
                <c:pt idx="0">
                  <c:v>419</c:v>
                </c:pt>
                <c:pt idx="1">
                  <c:v>335</c:v>
                </c:pt>
                <c:pt idx="2">
                  <c:v>225</c:v>
                </c:pt>
                <c:pt idx="3">
                  <c:v>198</c:v>
                </c:pt>
                <c:pt idx="4">
                  <c:v>27</c:v>
                </c:pt>
                <c:pt idx="5">
                  <c:v>19</c:v>
                </c:pt>
                <c:pt idx="6">
                  <c:v>9</c:v>
                </c:pt>
                <c:pt idx="7">
                  <c:v>6</c:v>
                </c:pt>
                <c:pt idx="8">
                  <c:v>19</c:v>
                </c:pt>
              </c:numCache>
            </c:numRef>
          </c:val>
        </c:ser>
        <c:ser>
          <c:idx val="2"/>
          <c:order val="2"/>
          <c:tx>
            <c:strRef>
              <c:f>Microrg_Serviços!$G$1</c:f>
              <c:strCache>
                <c:ptCount val="1"/>
                <c:pt idx="0">
                  <c:v>Fungos</c:v>
                </c:pt>
              </c:strCache>
            </c:strRef>
          </c:tx>
          <c:dLbls>
            <c:dLbl>
              <c:idx val="0"/>
              <c:layout>
                <c:manualLayout>
                  <c:x val="-4.1512400759797662E-17"/>
                  <c:y val="-1.377545929044461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1836395269630708E-3"/>
                </c:manualLayout>
              </c:layout>
              <c:showVal val="1"/>
            </c:dLbl>
            <c:dLbl>
              <c:idx val="2"/>
              <c:layout>
                <c:manualLayout>
                  <c:x val="-4.1512400759797662E-17"/>
                  <c:y val="-1.8367279053925961E-2"/>
                </c:manualLayout>
              </c:layout>
              <c:showVal val="1"/>
            </c:dLbl>
            <c:dLbl>
              <c:idx val="3"/>
              <c:layout>
                <c:manualLayout>
                  <c:x val="-4.5286778525010039E-3"/>
                  <c:y val="-1.3775459290444611E-2"/>
                </c:manualLayout>
              </c:layout>
              <c:showVal val="1"/>
            </c:dLbl>
            <c:dLbl>
              <c:idx val="6"/>
              <c:layout>
                <c:manualLayout>
                  <c:x val="-1.058200881856303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pt-PT"/>
              </a:p>
            </c:txPr>
            <c:showVal val="1"/>
          </c:dLbls>
          <c:cat>
            <c:strRef>
              <c:f>Microrg_Serviços!$D$2:$D$10</c:f>
              <c:strCache>
                <c:ptCount val="9"/>
                <c:pt idx="0">
                  <c:v>Medicina /Esp. Médicas</c:v>
                </c:pt>
                <c:pt idx="1">
                  <c:v>UCI's polivalentes/Outras</c:v>
                </c:pt>
                <c:pt idx="2">
                  <c:v>Cirurgia G./Esp.Cirurg.</c:v>
                </c:pt>
                <c:pt idx="3">
                  <c:v>Hematologia/Oncologia</c:v>
                </c:pt>
                <c:pt idx="4">
                  <c:v>Hematologia/Oncologia Pediátrica</c:v>
                </c:pt>
                <c:pt idx="5">
                  <c:v>Outros Serviços Pediátricos</c:v>
                </c:pt>
                <c:pt idx="6">
                  <c:v>Pediatria/UCI Pediátricas</c:v>
                </c:pt>
                <c:pt idx="7">
                  <c:v>Outros Serviços</c:v>
                </c:pt>
                <c:pt idx="8">
                  <c:v>Ginecologia/Obstetricia</c:v>
                </c:pt>
              </c:strCache>
            </c:strRef>
          </c:cat>
          <c:val>
            <c:numRef>
              <c:f>Microrg_Serviços!$G$2:$G$10</c:f>
              <c:numCache>
                <c:formatCode>0</c:formatCode>
                <c:ptCount val="9"/>
                <c:pt idx="0">
                  <c:v>31</c:v>
                </c:pt>
                <c:pt idx="1">
                  <c:v>43</c:v>
                </c:pt>
                <c:pt idx="2">
                  <c:v>25</c:v>
                </c:pt>
                <c:pt idx="3">
                  <c:v>9</c:v>
                </c:pt>
                <c:pt idx="4">
                  <c:v>1</c:v>
                </c:pt>
                <c:pt idx="6">
                  <c:v>5</c:v>
                </c:pt>
              </c:numCache>
            </c:numRef>
          </c:val>
        </c:ser>
        <c:axId val="168971648"/>
        <c:axId val="171406848"/>
      </c:barChart>
      <c:catAx>
        <c:axId val="16897164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pt-PT"/>
          </a:p>
        </c:txPr>
        <c:crossAx val="171406848"/>
        <c:crosses val="autoZero"/>
        <c:auto val="1"/>
        <c:lblAlgn val="ctr"/>
        <c:lblOffset val="100"/>
      </c:catAx>
      <c:valAx>
        <c:axId val="171406848"/>
        <c:scaling>
          <c:orientation val="minMax"/>
        </c:scaling>
        <c:axPos val="b"/>
        <c:majorGridlines/>
        <c:numFmt formatCode="0" sourceLinked="1"/>
        <c:tickLblPos val="nextTo"/>
        <c:txPr>
          <a:bodyPr/>
          <a:lstStyle/>
          <a:p>
            <a:pPr>
              <a:defRPr sz="700"/>
            </a:pPr>
            <a:endParaRPr lang="pt-PT"/>
          </a:p>
        </c:txPr>
        <c:crossAx val="168971648"/>
        <c:crosses val="autoZero"/>
        <c:crossBetween val="between"/>
      </c:valAx>
      <c:spPr>
        <a:ln>
          <a:solidFill>
            <a:srgbClr val="1F497D"/>
          </a:solidFill>
        </a:ln>
      </c:spPr>
    </c:plotArea>
    <c:legend>
      <c:legendPos val="t"/>
      <c:layout>
        <c:manualLayout>
          <c:xMode val="edge"/>
          <c:yMode val="edge"/>
          <c:x val="0.28922811182126001"/>
          <c:y val="2.7550918580889389E-2"/>
          <c:w val="0.49848583419710896"/>
          <c:h val="8.3033479066363727E-2"/>
        </c:manualLayout>
      </c:layout>
    </c:legend>
    <c:plotVisOnly val="1"/>
  </c:chart>
  <c:spPr>
    <a:ln>
      <a:solidFill>
        <a:srgbClr val="4F81BD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B07D-170A-4353-8AF8-2337303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21</Pages>
  <Words>5739</Words>
  <Characters>30994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Gaspar</dc:creator>
  <cp:lastModifiedBy>Maria Goreti Silva</cp:lastModifiedBy>
  <cp:revision>74</cp:revision>
  <cp:lastPrinted>2014-01-10T15:32:00Z</cp:lastPrinted>
  <dcterms:created xsi:type="dcterms:W3CDTF">2013-01-15T14:15:00Z</dcterms:created>
  <dcterms:modified xsi:type="dcterms:W3CDTF">2014-01-10T15:35:00Z</dcterms:modified>
</cp:coreProperties>
</file>